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 xml:space="preserve">№  </w:t>
      </w:r>
      <w:r>
        <w:rPr>
          <w:rFonts w:cs="Arial" w:ascii="Times New Roman" w:hAnsi="Times New Roman"/>
          <w:b/>
          <w:sz w:val="26"/>
          <w:szCs w:val="26"/>
        </w:rPr>
        <w:t>13</w:t>
      </w:r>
      <w:r>
        <w:rPr>
          <w:rFonts w:cs="Arial" w:ascii="Times New Roman" w:hAnsi="Times New Roman"/>
          <w:b/>
          <w:sz w:val="26"/>
          <w:szCs w:val="26"/>
        </w:rPr>
        <w:t>1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>от  «</w:t>
      </w: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» октября 2021 года  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октября 2021г. до 14ч.00 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ноября 2021г.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ноября  2021г.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22» ноября 2021г. 15ч.00мин.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ноября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2021г.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Врио г</w:t>
      </w: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лав</w:t>
      </w: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ы</w:t>
      </w: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 Советского сельского поселения                              </w:t>
      </w: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Т.Ф.Глущенко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21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октября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2021г. N  1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31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Сарсенова Светлана Михайловна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>Рознатовский В.П.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-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зам.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директор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а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/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/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21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"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октября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2021 г. N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131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октября</w:t>
      </w:r>
      <w:r>
        <w:rPr>
          <w:rFonts w:cs="Times New Roman" w:ascii="Times New Roman" w:hAnsi="Times New Roman"/>
          <w:sz w:val="24"/>
          <w:szCs w:val="24"/>
        </w:rPr>
        <w:t xml:space="preserve"> 2021 г. № 1</w:t>
      </w:r>
      <w:r>
        <w:rPr>
          <w:rFonts w:cs="Times New Roman" w:ascii="Times New Roman" w:hAnsi="Times New Roman"/>
          <w:sz w:val="24"/>
          <w:szCs w:val="24"/>
        </w:rPr>
        <w:t>31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Конкурсная документация </w:t>
      </w:r>
      <w:r>
        <w:rPr>
          <w:rFonts w:cs="Times New Roman" w:ascii="Times New Roman" w:hAnsi="Times New Roman"/>
          <w:sz w:val="24"/>
          <w:szCs w:val="24"/>
        </w:rPr>
        <w:t>на 11</w:t>
      </w:r>
      <w:r>
        <w:rPr>
          <w:rFonts w:cs="Times New Roman" w:ascii="Times New Roman" w:hAnsi="Times New Roman"/>
          <w:sz w:val="24"/>
          <w:szCs w:val="24"/>
        </w:rPr>
        <w:t>0 листах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2958"/>
        <w:gridCol w:w="3"/>
        <w:gridCol w:w="2063"/>
      </w:tblGrid>
      <w:tr>
        <w:trPr>
          <w:trHeight w:val="139" w:hRule="atLeast"/>
        </w:trPr>
        <w:tc>
          <w:tcPr>
            <w:tcW w:w="776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21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октября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2021г. №  1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31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</w:t>
      </w: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на 14 листах.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Application>LibreOffice/6.2.4.2$Windows_x86 LibreOffice_project/2412653d852ce75f65fbfa83fb7e7b669a126d64</Application>
  <Pages>6</Pages>
  <Words>920</Words>
  <Characters>6908</Characters>
  <CharactersWithSpaces>35244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2021-10-22T13:50:16Z</cp:lastPrinted>
  <dcterms:modified xsi:type="dcterms:W3CDTF">2021-10-22T13:51:23Z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