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i w:val="false"/>
          <w:i w:val="false"/>
          <w:iCs w:val="false"/>
          <w:u w:val="none"/>
        </w:rPr>
      </w:pPr>
      <w:r>
        <w:rPr>
          <w:b/>
          <w:i w:val="false"/>
          <w:iCs w:val="false"/>
          <w:sz w:val="28"/>
          <w:szCs w:val="28"/>
          <w:u w:val="none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caps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/>
      </w:pPr>
      <w:r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>153</w:t>
      </w:r>
    </w:p>
    <w:p>
      <w:pPr>
        <w:pStyle w:val="2"/>
        <w:tabs>
          <w:tab w:val="clear" w:pos="708"/>
          <w:tab w:val="left" w:pos="993" w:leader="none"/>
        </w:tabs>
        <w:rPr/>
      </w:pPr>
      <w:r>
        <w:rPr>
          <w:b/>
          <w:szCs w:val="28"/>
        </w:rPr>
        <w:t>от «</w:t>
      </w:r>
      <w:r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20 </w:t>
      </w:r>
      <w:r>
        <w:rPr>
          <w:b/>
          <w:szCs w:val="28"/>
        </w:rPr>
        <w:t xml:space="preserve">» </w:t>
      </w:r>
      <w:r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ноября </w:t>
      </w:r>
      <w:r>
        <w:rPr>
          <w:b/>
          <w:szCs w:val="28"/>
        </w:rPr>
        <w:t xml:space="preserve">2019 г.                       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exact" w:line="240"/>
        <w:jc w:val="center"/>
        <w:rPr>
          <w:i w:val="false"/>
          <w:i w:val="false"/>
          <w:iCs w:val="false"/>
          <w:color w:val="111111"/>
          <w:sz w:val="28"/>
          <w:szCs w:val="28"/>
        </w:rPr>
      </w:pPr>
      <w:r>
        <w:rPr>
          <w:b/>
          <w:i w:val="false"/>
          <w:iCs w:val="false"/>
          <w:color w:val="111111"/>
          <w:sz w:val="28"/>
          <w:szCs w:val="28"/>
          <w:u w:val="none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 № 104 от «14»  декабря 2017 г. «Об утверждении административного регламента исполнения муниципальной функции по осуществлению  муниципального жилищного  контроля на территории Советского сельского поселения» (в редакции Постановления № 16 от 01.02.2018 года, № 111 от 29.08.2018, № 71 от 13.06.2019)</w:t>
      </w:r>
    </w:p>
    <w:p>
      <w:pPr>
        <w:pStyle w:val="Normal"/>
        <w:tabs>
          <w:tab w:val="clear" w:pos="708"/>
          <w:tab w:val="left" w:pos="993" w:leader="none"/>
        </w:tabs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-286" w:firstLine="720"/>
        <w:jc w:val="both"/>
        <w:rPr/>
      </w:pPr>
      <w:r>
        <w:rPr>
          <w:color w:val="000000"/>
          <w:sz w:val="28"/>
          <w:szCs w:val="28"/>
        </w:rPr>
        <w:t xml:space="preserve">В соответствии с ч. 4.2 ст.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22.02.2013 № 19-ОД «О муниципальном жилищном контроле», </w:t>
      </w:r>
      <w:r>
        <w:rPr>
          <w:i w:val="false"/>
          <w:iCs w:val="false"/>
          <w:sz w:val="28"/>
          <w:szCs w:val="28"/>
          <w:u w:val="none"/>
        </w:rPr>
        <w:t xml:space="preserve">Уставом </w:t>
      </w:r>
      <w:r>
        <w:rPr>
          <w:i w:val="false"/>
          <w:iCs w:val="false"/>
          <w:kern w:val="2"/>
          <w:sz w:val="28"/>
          <w:szCs w:val="28"/>
          <w:u w:val="none"/>
        </w:rPr>
        <w:t>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 xml:space="preserve">, администрация Советского сельского поселения,  </w:t>
      </w:r>
    </w:p>
    <w:p>
      <w:pPr>
        <w:pStyle w:val="Normal"/>
        <w:numPr>
          <w:ilvl w:val="0"/>
          <w:numId w:val="0"/>
        </w:numPr>
        <w:ind w:right="-28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left"/>
        <w:rPr/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sz w:val="28"/>
          <w:szCs w:val="28"/>
        </w:rPr>
        <w:t xml:space="preserve">1. Внести в административный регламент исполнения муниципальной функции «Осуществление  муниципального жилищного  контроля на территории </w:t>
      </w:r>
      <w:r>
        <w:rPr>
          <w:i w:val="false"/>
          <w:iCs w:val="false"/>
          <w:kern w:val="2"/>
          <w:sz w:val="28"/>
          <w:szCs w:val="28"/>
          <w:u w:val="none"/>
        </w:rPr>
        <w:t>Советского сельского поселения», утвержденный Постановлением администрации 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kern w:val="2"/>
          <w:sz w:val="28"/>
          <w:szCs w:val="28"/>
          <w:u w:val="none"/>
        </w:rPr>
        <w:t>от «14» декабря 2017 г. «</w:t>
      </w:r>
      <w:r>
        <w:rPr>
          <w:i w:val="false"/>
          <w:iCs w:val="false"/>
          <w:sz w:val="28"/>
          <w:szCs w:val="28"/>
          <w:u w:val="none"/>
        </w:rPr>
        <w:t xml:space="preserve">Об утверждении административного регламента исполнения муниципальной функции по осуществлению  муниципального жилищного  контроля на территории </w:t>
      </w:r>
      <w:r>
        <w:rPr>
          <w:i w:val="false"/>
          <w:iCs w:val="false"/>
          <w:kern w:val="2"/>
          <w:sz w:val="28"/>
          <w:szCs w:val="28"/>
          <w:u w:val="none"/>
        </w:rPr>
        <w:t>Советского сельского поселения»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111111"/>
          <w:kern w:val="2"/>
          <w:sz w:val="28"/>
          <w:szCs w:val="28"/>
          <w:u w:val="none"/>
        </w:rPr>
        <w:t>(в редакции Постановления № 16 от 01.02.2018 года, № 111 от 29.08.2018, № 71 от 13.06.2019)</w:t>
      </w:r>
      <w:r>
        <w:rPr>
          <w:kern w:val="2"/>
          <w:sz w:val="28"/>
          <w:szCs w:val="28"/>
        </w:rPr>
        <w:t>, следующие изменения: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«Исполнение муниципальной функции включает в себя следующие административные процедуры: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проверки;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и оформление результатов проверки;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фактам нарушений, выявленным при проведении проверки;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организация и проведение мероприятий направленных на профилактику нарушений обязательных требований;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результатах проводимых проверок, состоянии обязательных требований и об эффективности муниципального жилищного контроля.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Блок-схема административных процедур по исполнению муниципальной функции представлена в приложении № 1 к настоящему Административному регламенту»;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>
        <w:rPr>
          <w:rFonts w:eastAsia="Calibri" w:eastAsiaTheme="minorHAnsi"/>
          <w:sz w:val="28"/>
          <w:szCs w:val="28"/>
          <w:lang w:eastAsia="en-US"/>
        </w:rPr>
        <w:t>абзац 1 пункта 3.1.8 изложить в следующей редакции: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shd w:fill="FFFFFF" w:val="clear"/>
        </w:rPr>
        <w:t xml:space="preserve">Наряду с основаниями, указанными в пункте 3.1.7 настоящего Административного регламента, основаниями для проведения внеплановой проверки являются поступление, в частности посредством государственной информационной системы жилищно-коммунального хозяйства (далее – система),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уполномоченным органом в системе информации о фактах нарушения требований правил предоставления, приостановки и ограничения предоставления </w:t>
      </w:r>
      <w:r>
        <w:rPr>
          <w:rFonts w:eastAsia="Calibri" w:eastAsiaTheme="minorHAnsi"/>
          <w:sz w:val="28"/>
          <w:szCs w:val="28"/>
          <w:lang w:eastAsia="en-US"/>
        </w:rPr>
        <w:t xml:space="preserve">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2">
        <w:r>
          <w:rPr>
            <w:rStyle w:val="ListLabel24"/>
            <w:rFonts w:eastAsia="Calibri" w:eastAsiaTheme="minorHAnsi"/>
            <w:color w:val="0000FF"/>
            <w:sz w:val="28"/>
            <w:szCs w:val="28"/>
            <w:lang w:eastAsia="en-US"/>
          </w:rPr>
          <w:t>части 1 статьи 164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3">
        <w:r>
          <w:rPr>
            <w:rStyle w:val="ListLabel24"/>
            <w:rFonts w:eastAsia="Calibri" w:eastAsiaTheme="minorHAnsi"/>
            <w:color w:val="0000FF"/>
            <w:sz w:val="28"/>
            <w:szCs w:val="28"/>
            <w:lang w:eastAsia="en-US"/>
          </w:rPr>
          <w:t>частью 2 статьи 162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Кодекса, о фактах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помещений».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1.3. дополнить пунктом 3.4 следующего содержания: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«3.4. Организация и проведение мероприятий по профилактике нарушений обязательных требований или требований, установленных федеральными законами в сфере жилищных отношений, а также муниципальными правовыми актами.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3.4.1. Профилактика нарушений обязательных требований осуществляется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 или требований, установленных федеральными законами в сфере жилищных отношений, а также муниципальными правовыми актами.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3.4.2. Осуществление профилактики нарушений обязательных требований в соответствии с ежегодной программой профилактики нарушений.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3.4.2.1. Ответственным за формирование ежегодной программы профилактики нарушений является ведущий специалист по правовой и кадровой работе администрации Советского сельского поселения.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3.4.2.2. 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3.4.3. Осуществление профилактики нарушений обязательных требований путем объявления юридическому лицу, индивидуальному предпринимателю предостережений о недопустимости нарушения обязательных требований.</w:t>
      </w:r>
      <w:bookmarkStart w:id="0" w:name="Par6"/>
      <w:bookmarkEnd w:id="0"/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 (далее именуется - предостережение) является наличие у уполномоченного органа сведений о готовящихся нарушениях или о признаках нарушений обязательных требований или требований, установленных федеральными законами в сфере жилищных отношений, а также муниципальными правовыми актами, полученных в ходе наблюдения за соблюдением обязательных требований при размещении информации в сети "Интернет" и средствах массовой информации,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последствий.</w:t>
      </w:r>
      <w:bookmarkStart w:id="1" w:name="Par7"/>
      <w:bookmarkEnd w:id="1"/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3.4.3.2. Решение о направлении предостережения принимает руководитель уполномоченного органа или его заместитель, либо иное уполномоченное должностное лицо при наличии сведений, указанных в </w:t>
      </w:r>
      <w:hyperlink w:anchor="Par6">
        <w:r>
          <w:rPr>
            <w:rStyle w:val="ListLabel24"/>
            <w:rFonts w:eastAsia="Calibri" w:eastAsiaTheme="minorHAnsi"/>
            <w:color w:val="0000FF"/>
            <w:sz w:val="28"/>
            <w:szCs w:val="28"/>
            <w:lang w:eastAsia="en-US"/>
          </w:rPr>
          <w:t>пункте 3.4.3.1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3.4.3.3. Составление и направление предостережения осуществляется не позднее 30 дней со дня получения должностным лицом уполномоченного органа сведений, указанных в </w:t>
      </w:r>
      <w:hyperlink w:anchor="Par6">
        <w:r>
          <w:rPr>
            <w:rStyle w:val="ListLabel24"/>
            <w:rFonts w:eastAsia="Calibri" w:eastAsiaTheme="minorHAnsi"/>
            <w:color w:val="0000FF"/>
            <w:sz w:val="28"/>
            <w:szCs w:val="28"/>
            <w:lang w:eastAsia="en-US"/>
          </w:rPr>
          <w:t>пункте 3.4.3.1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3.4.3.4. В предостережении указываются: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а) наименование органа муниципального жилищного контроля;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б) дата и номер предостережения;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в) наименование юридического лица, фамилия, имя, отчество (при наличии) индивидуального предпринимателя;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г) указание на обязательные требования или требования, установленные федеральными законами в сфере жилищных отношений, а также муниципальными правовыми актами, включая их структурные единицы, предусматривающие указанные требования;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 или требований, установленных федеральными законами в сфере жилищных отношений, а также муниципальными правовыми актами;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е) предложение юридическому лицу, индивидуальному предпринимателю принять меры по обеспечению соблюдения обязательных требований;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ж) предложение юридическому лицу, индивидуальному предпринимателю направить уведомление об исполнении предостережения в орган муниципального жилищного контроля;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и) контактные данные органа муниципального жилищного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3.4.3.5.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  <w:bookmarkStart w:id="2" w:name="Par20"/>
      <w:bookmarkEnd w:id="2"/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3.4.3.6. 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w:anchor="Par7">
        <w:r>
          <w:rPr>
            <w:rStyle w:val="ListLabel24"/>
            <w:rFonts w:eastAsia="Calibri" w:eastAsiaTheme="minorHAnsi"/>
            <w:color w:val="0000FF"/>
            <w:sz w:val="28"/>
            <w:szCs w:val="28"/>
            <w:lang w:eastAsia="en-US"/>
          </w:rPr>
          <w:t>пункте 3.4.3.2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административного регламента,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3.4.3.7. По результатам рассмотрения предостережения юридическим лицом, индивидуальным предпринимателем могут быть поданы в уполномоченный орган возражения, в которых указываются: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а) наименование юридического лица, фамилия, имя, отчество (при наличии) индивидуального предпринимателя;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б) идентификационный номер налогоплательщика - юридического лица, индивидуального предпринимателя;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в) дата и номер предостережения, направленного в адрес юридического лица, индивидуального предпринимателя;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федеральными законами в сфере жилищных отношений, а также муниципальными правовыми актами.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3.4.3.9.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</w:t>
      </w:r>
      <w:hyperlink w:anchor="Par20">
        <w:r>
          <w:rPr>
            <w:rStyle w:val="ListLabel24"/>
            <w:rFonts w:eastAsia="Calibri" w:eastAsiaTheme="minorHAnsi"/>
            <w:color w:val="0000FF"/>
            <w:sz w:val="28"/>
            <w:szCs w:val="28"/>
            <w:lang w:eastAsia="en-US"/>
          </w:rPr>
          <w:t>пунктом 3.4.3.6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3.4.3.10. Ответственным за подготовку и направления предостережения, а также за направления ответа по итогам рассмотрения возражений юридического лица, индивидуального предпринимателя является должностное лицо уполномоченного органа.»;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1.4. пункт 3.4 считать пунктом 3.5.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98"/>
        <w:gridCol w:w="4932"/>
      </w:tblGrid>
      <w:tr>
        <w:trPr>
          <w:trHeight w:val="1058" w:hRule="atLeast"/>
        </w:trPr>
        <w:tc>
          <w:tcPr>
            <w:tcW w:w="50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i w:val="false"/>
                <w:i w:val="false"/>
                <w:iCs w:val="false"/>
                <w:u w:val="none"/>
              </w:rPr>
            </w:pPr>
            <w:r>
              <w:rPr>
                <w:b/>
                <w:i w:val="false"/>
                <w:iCs w:val="false"/>
                <w:sz w:val="28"/>
                <w:szCs w:val="28"/>
                <w:u w:val="none"/>
              </w:rPr>
              <w:t xml:space="preserve">Глава </w:t>
            </w:r>
            <w:r>
              <w:rPr>
                <w:b/>
                <w:i w:val="false"/>
                <w:iCs w:val="false"/>
                <w:kern w:val="2"/>
                <w:sz w:val="28"/>
                <w:szCs w:val="28"/>
                <w:u w:val="none"/>
              </w:rPr>
              <w:t>Советского сельского поселения</w:t>
            </w:r>
          </w:p>
        </w:tc>
        <w:tc>
          <w:tcPr>
            <w:tcW w:w="493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right"/>
              <w:rPr>
                <w:b/>
                <w:b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right"/>
              <w:rPr>
                <w:b/>
                <w:b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i w:val="false"/>
                <w:i w:val="false"/>
                <w:iCs w:val="false"/>
                <w:u w:val="none"/>
              </w:rPr>
            </w:pPr>
            <w:r>
              <w:rPr>
                <w:b/>
                <w:i w:val="false"/>
                <w:iCs w:val="false"/>
                <w:sz w:val="28"/>
                <w:szCs w:val="28"/>
                <w:u w:val="none"/>
              </w:rPr>
              <w:t xml:space="preserve">А.Ф.Пак                                                </w:t>
            </w:r>
          </w:p>
        </w:tc>
      </w:tr>
    </w:tbl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/>
      </w:pPr>
      <w:r>
        <w:rPr/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1418" w:right="850" w:header="0" w:top="1134" w:footer="0" w:bottom="1134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Style40"/>
      <w:tabs>
        <w:tab w:val="clear" w:pos="4677"/>
        <w:tab w:val="clear" w:pos="9355"/>
        <w:tab w:val="left" w:pos="5730" w:leader="none"/>
      </w:tabs>
      <w:rPr>
        <w:color w:val="FF0000"/>
      </w:rPr>
    </w:pPr>
    <w:r>
      <w:rPr>
        <w:color w:val="FF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27877438"/>
    </w:sdtPr>
    <w:sdtContent>
      <w:p>
        <w:pPr>
          <w:pStyle w:val="Style3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3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9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2cbd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Normal"/>
    <w:next w:val="Normal"/>
    <w:link w:val="20"/>
    <w:qFormat/>
    <w:rsid w:val="0064595c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4595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80082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95d91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1f2cb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3" w:customStyle="1">
    <w:name w:val="Название Знак"/>
    <w:basedOn w:val="DefaultParagraphFont"/>
    <w:link w:val="aa"/>
    <w:qFormat/>
    <w:rsid w:val="001f2cbd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yle14" w:customStyle="1">
    <w:name w:val="Абзац_пост Знак"/>
    <w:link w:val="ae"/>
    <w:qFormat/>
    <w:rsid w:val="001f2cbd"/>
    <w:rPr>
      <w:rFonts w:ascii="Times New Roman" w:hAnsi="Times New Roman" w:eastAsia="Times New Roman" w:cs="Times New Roman"/>
      <w:sz w:val="26"/>
      <w:szCs w:val="24"/>
      <w:lang w:eastAsia="ar-SA"/>
    </w:rPr>
  </w:style>
  <w:style w:type="character" w:styleId="13" w:customStyle="1">
    <w:name w:val="Обычный + 13 пт Знак"/>
    <w:link w:val="13"/>
    <w:qFormat/>
    <w:rsid w:val="001f2cbd"/>
    <w:rPr>
      <w:rFonts w:ascii="Times New Roman" w:hAnsi="Times New Roman" w:eastAsia="Times New Roman" w:cs="Times New Roman"/>
      <w:sz w:val="26"/>
      <w:szCs w:val="26"/>
      <w:shd w:fill="FFFFFF" w:val="clear"/>
      <w:lang w:eastAsia="ar-SA"/>
    </w:rPr>
  </w:style>
  <w:style w:type="character" w:styleId="Style15">
    <w:name w:val="Интернет-ссылка"/>
    <w:rsid w:val="001f2cbd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1f2cb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1"/>
    <w:qFormat/>
    <w:rsid w:val="001f2c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Гипертекстовая ссылка"/>
    <w:qFormat/>
    <w:rsid w:val="001f2cbd"/>
    <w:rPr>
      <w:color w:val="008000"/>
    </w:rPr>
  </w:style>
  <w:style w:type="character" w:styleId="Style18" w:customStyle="1">
    <w:name w:val="Верхний колонтитул Знак"/>
    <w:basedOn w:val="DefaultParagraphFont"/>
    <w:link w:val="af4"/>
    <w:uiPriority w:val="99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9" w:customStyle="1">
    <w:name w:val="Текст примечания Знак"/>
    <w:basedOn w:val="DefaultParagraphFont"/>
    <w:link w:val="af6"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0" w:customStyle="1">
    <w:name w:val="Тема примечания Знак"/>
    <w:basedOn w:val="Style19"/>
    <w:link w:val="af8"/>
    <w:qFormat/>
    <w:rsid w:val="001f2cbd"/>
    <w:rPr>
      <w:b/>
      <w:bCs/>
    </w:rPr>
  </w:style>
  <w:style w:type="character" w:styleId="Style111" w:customStyle="1">
    <w:name w:val="style11"/>
    <w:basedOn w:val="DefaultParagraphFont"/>
    <w:qFormat/>
    <w:rsid w:val="001f2cbd"/>
    <w:rPr/>
  </w:style>
  <w:style w:type="character" w:styleId="Style21" w:customStyle="1">
    <w:name w:val="Нижний колонтитул Знак"/>
    <w:basedOn w:val="DefaultParagraphFont"/>
    <w:link w:val="afa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22" w:customStyle="1">
    <w:name w:val="Текст сноски Знак"/>
    <w:basedOn w:val="DefaultParagraphFont"/>
    <w:link w:val="afc"/>
    <w:semiHidden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3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1f2cbd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pacing w:val="-30"/>
      <w:sz w:val="28"/>
      <w:szCs w:val="28"/>
    </w:rPr>
  </w:style>
  <w:style w:type="character" w:styleId="ListLabel24">
    <w:name w:val="ListLabel 24"/>
    <w:qFormat/>
    <w:rPr>
      <w:rFonts w:eastAsia="Calibri" w:eastAsiaTheme="minorHAnsi"/>
      <w:color w:val="0000FF"/>
      <w:sz w:val="28"/>
      <w:szCs w:val="28"/>
      <w:lang w:eastAsia="en-US"/>
    </w:rPr>
  </w:style>
  <w:style w:type="character" w:styleId="Style24">
    <w:name w:val="Символ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концевой сноски"/>
    <w:qFormat/>
    <w:rPr/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pacing w:val="-30"/>
      <w:sz w:val="28"/>
      <w:szCs w:val="28"/>
    </w:rPr>
  </w:style>
  <w:style w:type="character" w:styleId="ListLabel27">
    <w:name w:val="ListLabel 27"/>
    <w:qFormat/>
    <w:rPr>
      <w:rFonts w:eastAsia="Calibri" w:eastAsiaTheme="minorHAnsi"/>
      <w:color w:val="0000FF"/>
      <w:sz w:val="28"/>
      <w:szCs w:val="28"/>
      <w:lang w:eastAsia="en-US"/>
    </w:rPr>
  </w:style>
  <w:style w:type="character" w:styleId="ListLabel28">
    <w:name w:val="ListLabel 28"/>
    <w:qFormat/>
    <w:rPr>
      <w:rFonts w:eastAsia="Calibri" w:eastAsiaTheme="minorHAnsi"/>
      <w:color w:val="0000FF"/>
      <w:sz w:val="28"/>
      <w:szCs w:val="28"/>
      <w:lang w:eastAsia="en-US"/>
    </w:rPr>
  </w:style>
  <w:style w:type="character" w:styleId="ListLabel29">
    <w:name w:val="ListLabel 29"/>
    <w:qFormat/>
    <w:rPr>
      <w:rFonts w:eastAsia="Calibri" w:eastAsiaTheme="minorHAnsi"/>
      <w:color w:val="0000FF"/>
      <w:sz w:val="28"/>
      <w:szCs w:val="28"/>
      <w:lang w:eastAsia="en-US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semiHidden/>
    <w:unhideWhenUsed/>
    <w:qFormat/>
    <w:rsid w:val="0088008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095d91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095d91"/>
    <w:pPr>
      <w:spacing w:before="0" w:after="0"/>
      <w:ind w:left="720" w:hanging="0"/>
      <w:contextualSpacing/>
    </w:pPr>
    <w:rPr/>
  </w:style>
  <w:style w:type="paragraph" w:styleId="Style32" w:customStyle="1">
    <w:name w:val="Название_пост"/>
    <w:basedOn w:val="Style33"/>
    <w:next w:val="Style34"/>
    <w:qFormat/>
    <w:rsid w:val="001f2cbd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styleId="Style33">
    <w:name w:val="Title"/>
    <w:basedOn w:val="Normal"/>
    <w:link w:val="ac"/>
    <w:qFormat/>
    <w:rsid w:val="001f2cbd"/>
    <w:pPr>
      <w:suppressAutoHyphens w:val="true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Style34" w:customStyle="1">
    <w:name w:val="Дата и номер"/>
    <w:basedOn w:val="Normal"/>
    <w:next w:val="Style35"/>
    <w:qFormat/>
    <w:rsid w:val="001f2cbd"/>
    <w:pPr>
      <w:tabs>
        <w:tab w:val="clear" w:pos="708"/>
        <w:tab w:val="left" w:pos="8100" w:leader="none"/>
      </w:tabs>
      <w:suppressAutoHyphens w:val="true"/>
      <w:ind w:firstLine="720"/>
      <w:jc w:val="both"/>
    </w:pPr>
    <w:rPr>
      <w:bCs/>
      <w:sz w:val="26"/>
      <w:lang w:eastAsia="ar-SA"/>
    </w:rPr>
  </w:style>
  <w:style w:type="paragraph" w:styleId="Style35" w:customStyle="1">
    <w:name w:val="Заголовок_пост"/>
    <w:basedOn w:val="Normal"/>
    <w:qFormat/>
    <w:rsid w:val="001f2cbd"/>
    <w:pPr>
      <w:tabs>
        <w:tab w:val="clear" w:pos="708"/>
        <w:tab w:val="left" w:pos="13320" w:leader="none"/>
      </w:tabs>
      <w:suppressAutoHyphens w:val="true"/>
      <w:ind w:left="720" w:right="4627" w:hanging="0"/>
    </w:pPr>
    <w:rPr>
      <w:sz w:val="26"/>
      <w:lang w:eastAsia="ar-SA"/>
    </w:rPr>
  </w:style>
  <w:style w:type="paragraph" w:styleId="Style36" w:customStyle="1">
    <w:name w:val="Абзац_пост"/>
    <w:basedOn w:val="Normal"/>
    <w:link w:val="af"/>
    <w:qFormat/>
    <w:rsid w:val="001f2cbd"/>
    <w:pPr>
      <w:suppressAutoHyphens w:val="true"/>
      <w:spacing w:before="120" w:after="0"/>
      <w:ind w:firstLine="720"/>
      <w:jc w:val="both"/>
    </w:pPr>
    <w:rPr>
      <w:sz w:val="26"/>
      <w:lang w:eastAsia="ar-SA"/>
    </w:rPr>
  </w:style>
  <w:style w:type="paragraph" w:styleId="131" w:customStyle="1">
    <w:name w:val="Обычный + 13 пт"/>
    <w:basedOn w:val="Normal"/>
    <w:link w:val="130"/>
    <w:qFormat/>
    <w:rsid w:val="001f2cbd"/>
    <w:pPr>
      <w:shd w:val="clear" w:color="auto" w:fill="FFFFFF"/>
      <w:tabs>
        <w:tab w:val="clear" w:pos="708"/>
        <w:tab w:val="left" w:pos="1492" w:leader="none"/>
      </w:tabs>
      <w:suppressAutoHyphens w:val="true"/>
      <w:spacing w:lineRule="exact" w:line="298" w:before="293" w:after="0"/>
      <w:ind w:left="67" w:firstLine="552"/>
      <w:jc w:val="both"/>
    </w:pPr>
    <w:rPr>
      <w:sz w:val="26"/>
      <w:szCs w:val="26"/>
      <w:lang w:eastAsia="ar-SA"/>
    </w:rPr>
  </w:style>
  <w:style w:type="paragraph" w:styleId="ConsPlusNormal" w:customStyle="1">
    <w:name w:val="ConsPlusNormal"/>
    <w:qFormat/>
    <w:rsid w:val="001f2cb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1f2cbd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1f2cb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Style37">
    <w:name w:val="Body Text Indent"/>
    <w:basedOn w:val="Normal"/>
    <w:link w:val="af2"/>
    <w:unhideWhenUsed/>
    <w:rsid w:val="001f2cbd"/>
    <w:pPr>
      <w:spacing w:before="0" w:after="120"/>
      <w:ind w:left="283" w:hanging="0"/>
    </w:pPr>
    <w:rPr/>
  </w:style>
  <w:style w:type="paragraph" w:styleId="Style38">
    <w:name w:val="Header"/>
    <w:basedOn w:val="Normal"/>
    <w:link w:val="af5"/>
    <w:uiPriority w:val="99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link w:val="af7"/>
    <w:qFormat/>
    <w:rsid w:val="001f2cbd"/>
    <w:pPr>
      <w:suppressAutoHyphens w:val="true"/>
    </w:pPr>
    <w:rPr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af9"/>
    <w:qFormat/>
    <w:rsid w:val="001f2cbd"/>
    <w:pPr/>
    <w:rPr>
      <w:b/>
      <w:bCs/>
    </w:rPr>
  </w:style>
  <w:style w:type="paragraph" w:styleId="Style39" w:customStyle="1">
    <w:name w:val="Пункт_пост"/>
    <w:basedOn w:val="Normal"/>
    <w:qFormat/>
    <w:rsid w:val="001f2cbd"/>
    <w:pPr>
      <w:spacing w:before="120" w:after="0"/>
      <w:jc w:val="both"/>
    </w:pPr>
    <w:rPr>
      <w:sz w:val="26"/>
    </w:rPr>
  </w:style>
  <w:style w:type="paragraph" w:styleId="Default" w:customStyle="1">
    <w:name w:val="Default"/>
    <w:qFormat/>
    <w:rsid w:val="001f2c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1f2cb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40">
    <w:name w:val="Footer"/>
    <w:basedOn w:val="Normal"/>
    <w:link w:val="afb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41">
    <w:name w:val="Footnote Text"/>
    <w:basedOn w:val="Normal"/>
    <w:link w:val="afd"/>
    <w:semiHidden/>
    <w:rsid w:val="001f2cbd"/>
    <w:pPr>
      <w:suppressAutoHyphens w:val="true"/>
    </w:pPr>
    <w:rPr>
      <w:sz w:val="20"/>
      <w:szCs w:val="20"/>
      <w:lang w:eastAsia="ar-SA"/>
    </w:rPr>
  </w:style>
  <w:style w:type="paragraph" w:styleId="Style42" w:customStyle="1">
    <w:name w:val="Знак"/>
    <w:basedOn w:val="Normal"/>
    <w:qFormat/>
    <w:rsid w:val="001f2cbd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5FBAAE54FAEBC72AE798465E6434B1D962B62A9A906F2396DFC149E3D3752A0A1A826A20B9B9F097F9AF85A9B7FBA9593A91D12E1AA8609T3SEH" TargetMode="External"/><Relationship Id="rId3" Type="http://schemas.openxmlformats.org/officeDocument/2006/relationships/hyperlink" Target="consultantplus://offline/ref=45FBAAE54FAEBC72AE798465E6434B1D962B62A9A906F2396DFC149E3D3752A0A1A826A70998955828D5F906DF29A99596A91F14FETAS1H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6623-A294-4BD2-919E-6AA28878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LibreOffice/6.2.4.2$Windows_x86 LibreOffice_project/2412653d852ce75f65fbfa83fb7e7b669a126d64</Application>
  <Pages>5</Pages>
  <Words>1462</Words>
  <Characters>11513</Characters>
  <CharactersWithSpaces>13006</CharactersWithSpaces>
  <Paragraphs>57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2019-11-01T10:31:00Z</dcterms:created>
  <dc:creator>User</dc:creator>
  <dc:description/>
  <dc:language>ru-RU</dc:language>
  <cp:lastModifiedBy/>
  <cp:lastPrinted>2019-11-20T13:33:57Z</cp:lastPrinted>
  <dcterms:modified xsi:type="dcterms:W3CDTF">2019-11-20T13:33:50Z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