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ДУМА</w:t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СОВЕТСКОГО СЕЛЬСКОГО ПОСЕЛЕНИЯ</w:t>
      </w:r>
    </w:p>
    <w:p>
      <w:pPr>
        <w:pStyle w:val="1"/>
        <w:spacing w:before="0" w:after="0"/>
        <w:jc w:val="center"/>
        <w:rPr>
          <w:color w:val="000000"/>
        </w:rPr>
      </w:pPr>
      <w:r>
        <w:rPr>
          <w:rFonts w:ascii="Times New Roman" w:hAnsi="Times New Roman"/>
          <w:color w:val="000000"/>
          <w:sz w:val="24"/>
          <w:szCs w:val="24"/>
        </w:rPr>
        <w:t>КАЛАЧЕВСКОГО  МУНИЦИПАЛЬНОГО  РАЙОНА</w:t>
      </w:r>
    </w:p>
    <w:p>
      <w:pPr>
        <w:pStyle w:val="6"/>
        <w:spacing w:before="0" w:after="0"/>
        <w:jc w:val="center"/>
        <w:rPr>
          <w:rFonts w:ascii="Times New Roman" w:hAnsi="Times New Roman"/>
          <w:b w:val="false"/>
          <w:b w:val="false"/>
          <w:i/>
          <w:i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ВОЛГОГРАДСКОЙ  ОБЛАСТИ</w:t>
      </w:r>
    </w:p>
    <w:p>
      <w:pPr>
        <w:pStyle w:val="Normal"/>
        <w:rPr>
          <w:rFonts w:ascii="Times New Roman" w:hAnsi="Times New Roman"/>
          <w:b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</w:r>
    </w:p>
    <w:p>
      <w:pPr>
        <w:pStyle w:val="Normal"/>
        <w:rPr>
          <w:b/>
          <w:b/>
          <w:i/>
          <w:i/>
          <w:color w:val="000000"/>
          <w:sz w:val="24"/>
          <w:szCs w:val="24"/>
        </w:rPr>
      </w:pPr>
      <w:r>
        <w:rPr>
          <w:b/>
          <w:i/>
          <w:color w:val="000000"/>
          <w:sz w:val="24"/>
          <w:szCs w:val="24"/>
        </w:rPr>
        <mc:AlternateContent>
          <mc:Choice Requires="wps">
            <w:drawing>
              <wp:anchor behindDoc="0" distT="0" distB="0" distL="0" distR="0" simplePos="0" locked="0" layoutInCell="1" allowOverlap="1" relativeHeight="2" wp14:anchorId="45CF82C7">
                <wp:simplePos x="0" y="0"/>
                <wp:positionH relativeFrom="column">
                  <wp:posOffset>13970</wp:posOffset>
                </wp:positionH>
                <wp:positionV relativeFrom="paragraph">
                  <wp:posOffset>38100</wp:posOffset>
                </wp:positionV>
                <wp:extent cx="6132195" cy="1270"/>
                <wp:effectExtent l="33655" t="32385" r="31115" b="34290"/>
                <wp:wrapNone/>
                <wp:docPr id="1" name="Прямая соединительная линия 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31520" cy="0"/>
                        </a:xfrm>
                        <a:prstGeom prst="line">
                          <a:avLst/>
                        </a:prstGeom>
                        <a:ln w="57240">
                          <a:solidFill>
                            <a:srgbClr val="00000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1pt,3pt" to="483.85pt,3pt" ID="Прямая соединительная линия 2" stroked="t" style="position:absolute" wp14:anchorId="45CF82C7">
                <v:stroke color="black" weight="57240" joinstyle="round" endcap="flat"/>
                <v:fill o:detectmouseclick="t" on="false"/>
              </v:line>
            </w:pict>
          </mc:Fallback>
        </mc:AlternateContent>
      </w:r>
    </w:p>
    <w:p>
      <w:pPr>
        <w:pStyle w:val="4"/>
        <w:spacing w:before="0" w:after="0"/>
        <w:jc w:val="center"/>
        <w:rPr/>
      </w:pPr>
      <w:r>
        <w:rPr>
          <w:rFonts w:ascii="Times New Roman" w:hAnsi="Times New Roman"/>
          <w:color w:val="000000"/>
          <w:sz w:val="24"/>
          <w:szCs w:val="24"/>
        </w:rPr>
        <w:t xml:space="preserve">Р Е Ш Е Н И Е № </w:t>
      </w:r>
      <w:r>
        <w:rPr>
          <w:rFonts w:ascii="Times New Roman" w:hAnsi="Times New Roman"/>
          <w:color w:val="000000"/>
          <w:sz w:val="24"/>
          <w:szCs w:val="24"/>
        </w:rPr>
        <w:t>4/18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>
      <w:pPr>
        <w:pStyle w:val="21"/>
        <w:jc w:val="left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21"/>
        <w:jc w:val="left"/>
        <w:rPr/>
      </w:pPr>
      <w:r>
        <w:rPr>
          <w:b/>
          <w:color w:val="000000"/>
          <w:sz w:val="24"/>
          <w:szCs w:val="24"/>
        </w:rPr>
        <w:t>«22» ноября 2019 года</w:t>
      </w:r>
    </w:p>
    <w:p>
      <w:pPr>
        <w:pStyle w:val="13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13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Об установлении налога на имущество физических лиц</w:t>
      </w:r>
    </w:p>
    <w:p>
      <w:pPr>
        <w:pStyle w:val="21"/>
        <w:jc w:val="left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13"/>
        <w:ind w:firstLine="708"/>
        <w:jc w:val="both"/>
        <w:rPr/>
      </w:pPr>
      <w:r>
        <w:rPr>
          <w:color w:val="000000"/>
          <w:sz w:val="24"/>
          <w:szCs w:val="24"/>
        </w:rPr>
        <w:t>В соответствии со статьями 5, 12, 15 и главой 32 </w:t>
      </w:r>
      <w:hyperlink r:id="rId2" w:tgtFrame="_blank">
        <w:r>
          <w:rPr>
            <w:rStyle w:val="ListLabel10"/>
            <w:color w:val="000000"/>
            <w:sz w:val="24"/>
            <w:szCs w:val="24"/>
          </w:rPr>
          <w:t>Налогового кодекса Российской Федерации</w:t>
        </w:r>
      </w:hyperlink>
      <w:r>
        <w:rPr>
          <w:color w:val="000000"/>
          <w:sz w:val="24"/>
          <w:szCs w:val="24"/>
        </w:rPr>
        <w:t>, Федеральным законом от 06.10.2003 N131-ФЗ «</w:t>
      </w:r>
      <w:hyperlink r:id="rId3" w:tgtFrame="_blank">
        <w:r>
          <w:rPr>
            <w:rStyle w:val="ListLabel10"/>
            <w:color w:val="000000"/>
            <w:sz w:val="24"/>
            <w:szCs w:val="24"/>
          </w:rPr>
          <w:t>Об общих принципах организации местного самоуправления в Российской Федерации</w:t>
        </w:r>
      </w:hyperlink>
      <w:r>
        <w:rPr>
          <w:color w:val="000000"/>
          <w:sz w:val="24"/>
          <w:szCs w:val="24"/>
        </w:rPr>
        <w:t xml:space="preserve">», Уставом Советского сельского поселения Калачевского муниципального района Волгоградской области, </w:t>
      </w:r>
    </w:p>
    <w:p>
      <w:pPr>
        <w:pStyle w:val="13"/>
        <w:ind w:firstLine="708"/>
        <w:jc w:val="both"/>
        <w:rPr/>
      </w:pPr>
      <w:r>
        <w:rPr>
          <w:color w:val="000000"/>
          <w:sz w:val="24"/>
          <w:szCs w:val="24"/>
        </w:rPr>
        <w:t xml:space="preserve">                           </w:t>
      </w:r>
    </w:p>
    <w:p>
      <w:pPr>
        <w:pStyle w:val="13"/>
        <w:ind w:firstLine="708"/>
        <w:jc w:val="both"/>
        <w:rPr/>
      </w:pPr>
      <w:r>
        <w:rPr>
          <w:color w:val="000000"/>
          <w:sz w:val="24"/>
          <w:szCs w:val="24"/>
        </w:rPr>
        <w:t xml:space="preserve">                            </w:t>
      </w:r>
      <w:r>
        <w:rPr>
          <w:color w:val="000000"/>
          <w:sz w:val="24"/>
          <w:szCs w:val="24"/>
        </w:rPr>
        <w:t xml:space="preserve">Дума Советского сельского поселения </w:t>
      </w:r>
    </w:p>
    <w:p>
      <w:pPr>
        <w:pStyle w:val="13"/>
        <w:ind w:firstLine="708"/>
        <w:jc w:val="both"/>
        <w:rPr/>
      </w:pPr>
      <w:r>
        <w:rPr>
          <w:color w:val="000000"/>
          <w:sz w:val="24"/>
          <w:szCs w:val="24"/>
        </w:rPr>
        <w:t>Калачевского муниципального района Волгоградской области,</w:t>
      </w:r>
    </w:p>
    <w:p>
      <w:pPr>
        <w:pStyle w:val="13"/>
        <w:jc w:val="center"/>
        <w:rPr>
          <w:b/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</w:r>
    </w:p>
    <w:p>
      <w:pPr>
        <w:pStyle w:val="13"/>
        <w:jc w:val="center"/>
        <w:rPr>
          <w:color w:val="000000"/>
        </w:rPr>
      </w:pPr>
      <w:r>
        <w:rPr>
          <w:b/>
          <w:color w:val="000000"/>
          <w:sz w:val="24"/>
          <w:szCs w:val="24"/>
        </w:rPr>
        <w:t>РЕШИЛА:</w:t>
      </w:r>
    </w:p>
    <w:p>
      <w:pPr>
        <w:pStyle w:val="1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Web"/>
        <w:spacing w:beforeAutospacing="0" w:before="0" w:afterAutospacing="0" w:after="0"/>
        <w:ind w:firstLine="709"/>
        <w:jc w:val="both"/>
        <w:rPr>
          <w:color w:val="000000"/>
        </w:rPr>
      </w:pPr>
      <w:r>
        <w:rPr>
          <w:color w:val="000000"/>
        </w:rPr>
        <w:t>1. Установить и ввести в действие с 1 января 2020 года на территории Советского сельского поселения налог на имущество физических лиц.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2. Налоговая база в отношении объектов налогообложения определяется исходя из их кадастровой стоимости.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/>
        </w:rPr>
        <w:t>3. Увеличить размеры налоговых вычетов, предусмотренных пунктами 3,5 и 6.1 статьи 403 Налогового кодекса Российской Федерации: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color w:val="000000"/>
        </w:rPr>
        <w:t>- налоговая база в отношении жилого дома определяется как его кадастровая стоимость, уменьшенная на величину кадастровой стоимости 60 квадратных метров общей площади этого жилого дома;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 xml:space="preserve">- налоговая база в отношении квартиры, части жилого дома определяется как ее кадастровая стоимость, уменьшенная на величину кадастровой стоимости 30 квадратных метров </w:t>
      </w:r>
      <w:r>
        <w:fldChar w:fldCharType="begin"/>
      </w:r>
      <w:r>
        <w:rPr>
          <w:rStyle w:val="Style11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</w:rPr>
        <w:instrText> HYPERLINK "http://www.consultant.ru/document/cons_doc_LAW_77193/" \l "dst100259"</w:instrText>
      </w:r>
      <w:r>
        <w:rPr>
          <w:rStyle w:val="Style11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</w:rPr>
        <w:fldChar w:fldCharType="separate"/>
      </w:r>
      <w:r>
        <w:rPr>
          <w:rStyle w:val="Style11"/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u w:val="none"/>
          <w:effect w:val="none"/>
        </w:rPr>
        <w:t>общей площади</w:t>
      </w:r>
      <w:r>
        <w:rPr>
          <w:rStyle w:val="Style11"/>
          <w:smallCaps w:val="false"/>
          <w:caps w:val="false"/>
          <w:dstrike w:val="false"/>
          <w:strike w:val="false"/>
          <w:sz w:val="24"/>
          <w:spacing w:val="0"/>
          <w:i w:val="false"/>
          <w:u w:val="none"/>
          <w:b w:val="false"/>
          <w:effect w:val="none"/>
        </w:rPr>
        <w:fldChar w:fldCharType="end"/>
      </w:r>
      <w:r>
        <w:rPr>
          <w:caps w:val="false"/>
          <w:smallCaps w:val="false"/>
          <w:strike w:val="false"/>
          <w:dstrike w:val="false"/>
          <w:color w:val="000000"/>
          <w:spacing w:val="0"/>
          <w:highlight w:val="white"/>
          <w:u w:val="none"/>
          <w:effect w:val="none"/>
        </w:rPr>
        <w:t xml:space="preserve"> </w:t>
      </w:r>
      <w:r>
        <w:rPr>
          <w:b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4"/>
          <w:highlight w:val="white"/>
          <w:u w:val="none"/>
          <w:effect w:val="none"/>
        </w:rPr>
        <w:t>этой квартиры, части жилого дома.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color w:val="000000"/>
          <w:sz w:val="24"/>
          <w:szCs w:val="24"/>
        </w:rPr>
        <w:t>- налоговая база в отношении квартиры, части квартиры, комнаты, жилого дома , части жилого дома, находящихся в собственности физических лиц, имеющих трех и более несовершеннолетних детей, уменьшается на величину кадастровой стоимости 10 квадратных метров общей площади квартиры, площади части квартиры, комнаты и 15 квадратных метров общей площади жилого дома, части жилого дома в расчете на каждого несовершеннолетнего ребенка.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4. Установить ставки налога на имущество физических лиц в следующих размерах:</w:t>
      </w:r>
    </w:p>
    <w:tbl>
      <w:tblPr>
        <w:tblW w:w="9349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97"/>
        <w:gridCol w:w="6707"/>
        <w:gridCol w:w="1945"/>
      </w:tblGrid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 xml:space="preserve">№ </w:t>
            </w:r>
            <w:r>
              <w:rPr/>
              <w:t>п/п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Объекты налогообложения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Ставка налога</w:t>
            </w:r>
          </w:p>
        </w:tc>
      </w:tr>
      <w:tr>
        <w:trPr/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1</w:t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 xml:space="preserve">жилые дома, части жилых домов, квартиры, части квартир, комнаты </w:t>
            </w:r>
            <w:r>
              <w:rPr>
                <w:i/>
              </w:rPr>
              <w:t>(в зависимости от кадастровой стоимости)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до 1 000 000 рублей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0,1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от 1 000 000 рублей до 5 000 000 рублей вклю</w:t>
            </w:r>
            <w:bookmarkStart w:id="0" w:name="_GoBack"/>
            <w:bookmarkEnd w:id="0"/>
            <w:r>
              <w:rPr>
                <w:i/>
              </w:rPr>
              <w:t>чительно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0,1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свыше 5 000 000 рублей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0,3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13"/>
              <w:jc w:val="both"/>
              <w:rPr/>
            </w:pPr>
            <w:r>
              <w:rPr>
                <w:sz w:val="24"/>
                <w:szCs w:val="24"/>
              </w:rPr>
              <w:t xml:space="preserve">объекты незавершенного строительства в случае, если проектируемым назначением таких объектов является жилой дом </w:t>
            </w:r>
            <w:r>
              <w:rPr>
                <w:i/>
                <w:sz w:val="24"/>
                <w:szCs w:val="24"/>
              </w:rPr>
              <w:t>(в зависимости от кадастровой стоимости)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до 1 000 000 рублей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0,1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от 1 000 000 рублей до 5 000 000 рублей включительно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0,2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свыше 5 000 000 рублей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0,3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единые недвижимые комплексы, в состав которых входит хотя бы один жилой дом</w:t>
            </w:r>
            <w:r>
              <w:rPr>
                <w:rStyle w:val="12"/>
                <w:i/>
                <w:sz w:val="24"/>
                <w:szCs w:val="24"/>
              </w:rPr>
              <w:t xml:space="preserve"> (в зависимости от кадастровой стоимости)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до 5 000 000 рублей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0,2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от 5 000 000 рублей и свыше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0,3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0,1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86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хозяйственные строения или сооружения,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площадь каждого из которых не превышает 50 квадратных метров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0,1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площадь каждого из которых составляет от 50 до 100 квадратных метров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0,2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>
                <w:i/>
                <w:i/>
              </w:rPr>
            </w:pPr>
            <w:r>
              <w:rPr>
                <w:i/>
              </w:rPr>
              <w:t>площадь каждого из которых составляет от 100 до 150 квадратных метров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0,3 процента</w:t>
            </w:r>
          </w:p>
        </w:tc>
      </w:tr>
      <w:tr>
        <w:trPr/>
        <w:tc>
          <w:tcPr>
            <w:tcW w:w="6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2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объекты налогообложения, включенные в перечень, определяемый в соответствии с пунктом 7 статьи 378.2 Налогового кодекса Российской Федерации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2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объекты налогообложения, предусмотренные абзацем вторым пункта 10 статьи 378.2 Налогового кодекса Российской Федерации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2 процента</w:t>
            </w:r>
          </w:p>
        </w:tc>
      </w:tr>
      <w:tr>
        <w:trPr/>
        <w:tc>
          <w:tcPr>
            <w:tcW w:w="697" w:type="dxa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объекты налогообложения, кадастровая стоимость каждого из которых превышает 300 миллионов рублей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2 процента</w:t>
            </w:r>
          </w:p>
        </w:tc>
      </w:tr>
      <w:tr>
        <w:trPr/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center"/>
              <w:rPr/>
            </w:pPr>
            <w:r>
              <w:rPr/>
              <w:t>3</w:t>
            </w:r>
          </w:p>
        </w:tc>
        <w:tc>
          <w:tcPr>
            <w:tcW w:w="6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прочие объекты налогообложения</w:t>
            </w:r>
          </w:p>
        </w:tc>
        <w:tc>
          <w:tcPr>
            <w:tcW w:w="1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0,5 процента</w:t>
            </w:r>
          </w:p>
        </w:tc>
      </w:tr>
    </w:tbl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</w:r>
    </w:p>
    <w:p>
      <w:pPr>
        <w:pStyle w:val="Normal"/>
        <w:ind w:firstLine="709"/>
        <w:jc w:val="both"/>
        <w:rPr/>
      </w:pPr>
      <w:bookmarkStart w:id="1" w:name="Par56"/>
      <w:bookmarkEnd w:id="1"/>
      <w:r>
        <w:rPr>
          <w:rFonts w:cs="Times New Roman" w:ascii="Times New Roman" w:hAnsi="Times New Roman"/>
          <w:sz w:val="24"/>
          <w:szCs w:val="24"/>
        </w:rPr>
        <w:t>5. Установить к льготам, предоставляемым в соответствии со статьей 407 Налогового кодекса Российской Федерации, налоговые льготы следующим категориям налогоплательщиков:</w:t>
      </w:r>
    </w:p>
    <w:p>
      <w:pPr>
        <w:pStyle w:val="Normal"/>
        <w:ind w:firstLine="709"/>
        <w:jc w:val="both"/>
        <w:rPr/>
      </w:pPr>
      <w:r>
        <w:rPr>
          <w:rStyle w:val="12"/>
          <w:sz w:val="24"/>
          <w:szCs w:val="24"/>
        </w:rPr>
        <w:t>От уплаты налога на имущество физических лиц на период пребывания в организации, осуществляющей образовательную деятельность, независимо от форм собственности, а также на период службы в рядах Вооруженных Сил Российской Федерации освобождаются:</w:t>
      </w:r>
    </w:p>
    <w:p>
      <w:pPr>
        <w:pStyle w:val="1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дети-сироты;</w:t>
      </w:r>
    </w:p>
    <w:p>
      <w:pPr>
        <w:pStyle w:val="1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дети, оставшиеся без попечения родителей;</w:t>
      </w:r>
    </w:p>
    <w:p>
      <w:pPr>
        <w:pStyle w:val="1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лица из числа детей-сирот и детей, оставшихся без попечения родителей.</w:t>
      </w:r>
    </w:p>
    <w:p>
      <w:pPr>
        <w:pStyle w:val="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Налоговая льгота предоставляется в отношении следующих видов объектов налогообложения:</w:t>
      </w:r>
    </w:p>
    <w:tbl>
      <w:tblPr>
        <w:tblW w:w="9356" w:type="dxa"/>
        <w:jc w:val="left"/>
        <w:tblInd w:w="109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356"/>
      </w:tblGrid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жилые дома, части жилых домов, квартиры, части квартир, комнаты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объекты незавершенного строительства в случае, если проектируемым назначением таких объектов является жилой дом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единые недвижимые комплексы, в состав которых входит хотя бы один жилой дом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гаражи и машино-места, в том числе расположенные в объектах налогообложения, указанных в подпункте 2 пункта 2 статьи 406 Налогового кодекса Российской Федерации</w:t>
            </w:r>
          </w:p>
        </w:tc>
      </w:tr>
      <w:tr>
        <w:trPr/>
        <w:tc>
          <w:tcPr>
            <w:tcW w:w="9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Web"/>
              <w:spacing w:beforeAutospacing="0" w:before="0" w:afterAutospacing="0" w:after="0"/>
              <w:jc w:val="both"/>
              <w:rPr/>
            </w:pPr>
            <w:r>
              <w:rPr/>
              <w:t>хозяйственные строения или сооружения, площадь каждого из которых не превышает 50 квадратных метров и которые расположены на земельных участках для ведения личного подсобного хозяйства, огородничества, садоводства или индивидуального жилищного строительства</w:t>
            </w:r>
          </w:p>
        </w:tc>
      </w:tr>
    </w:tbl>
    <w:p>
      <w:pPr>
        <w:pStyle w:val="1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Налоговая льгота предоставляется:</w:t>
      </w:r>
    </w:p>
    <w:p>
      <w:pPr>
        <w:pStyle w:val="1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одного объекта налогообложения каждого вида по выбору налогоплательщика;</w:t>
      </w:r>
    </w:p>
    <w:p>
      <w:pPr>
        <w:pStyle w:val="1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отношении объекта налогообложения, находящегося в собственности налогоплательщика и не используемого налогоплательщиком в предпринимательской деятельности;</w:t>
      </w:r>
    </w:p>
    <w:p>
      <w:pPr>
        <w:pStyle w:val="13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размере всей подлежащей уплате налогоплательщиком суммы налога в отношении объекта налогообложения.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Физические лица, имеющие право на налоговые льготы, представляют в налоговый орган по своему выбору </w:t>
      </w:r>
      <w:hyperlink r:id="rId4">
        <w:r>
          <w:rPr>
            <w:rStyle w:val="ListLabel11"/>
            <w:rFonts w:cs="Times New Roman" w:ascii="Times New Roman" w:hAnsi="Times New Roman"/>
            <w:sz w:val="24"/>
            <w:szCs w:val="24"/>
          </w:rPr>
          <w:t>заявление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о предоставлении налоговой льготы, а также вправе представить </w:t>
      </w:r>
      <w:hyperlink r:id="rId5">
        <w:r>
          <w:rPr>
            <w:rStyle w:val="ListLabel11"/>
            <w:rFonts w:cs="Times New Roman" w:ascii="Times New Roman" w:hAnsi="Times New Roman"/>
            <w:sz w:val="24"/>
            <w:szCs w:val="24"/>
          </w:rPr>
          <w:t>документы</w:t>
        </w:r>
      </w:hyperlink>
      <w:r>
        <w:rPr>
          <w:rFonts w:cs="Times New Roman" w:ascii="Times New Roman" w:hAnsi="Times New Roman"/>
          <w:sz w:val="24"/>
          <w:szCs w:val="24"/>
        </w:rPr>
        <w:t>, подтверждающие право налогоплательщика на налоговую льготу.</w:t>
      </w:r>
    </w:p>
    <w:p>
      <w:pPr>
        <w:pStyle w:val="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Представление заявления о предоставлении налоговой льготы, подтверждение права налогоплательщика на налоговую льготу, рассмотрение налоговым органом такого заявления, направление налогоплательщику уведомления о предоставлении налоговой льготы либо сообщения об отказе от предоставления налоговой льготы осуществляются в порядке, аналогичном порядку, предусмотренному </w:t>
      </w:r>
      <w:hyperlink r:id="rId6">
        <w:r>
          <w:rPr>
            <w:rStyle w:val="ListLabel11"/>
            <w:rFonts w:cs="Times New Roman" w:ascii="Times New Roman" w:hAnsi="Times New Roman"/>
            <w:sz w:val="24"/>
            <w:szCs w:val="24"/>
          </w:rPr>
          <w:t>пунктом 3 статьи 361.1</w:t>
        </w:r>
      </w:hyperlink>
      <w:r>
        <w:rPr>
          <w:rFonts w:cs="Times New Roman" w:ascii="Times New Roman" w:hAnsi="Times New Roman"/>
          <w:sz w:val="24"/>
          <w:szCs w:val="24"/>
        </w:rPr>
        <w:t xml:space="preserve"> Налогового кодекса Российской Федерации.</w:t>
      </w:r>
    </w:p>
    <w:p>
      <w:pPr>
        <w:pStyle w:val="NormalWeb"/>
        <w:widowControl w:val="false"/>
        <w:spacing w:beforeAutospacing="0" w:before="0" w:afterAutospacing="0" w:after="0"/>
        <w:ind w:firstLine="709"/>
        <w:jc w:val="both"/>
        <w:rPr/>
      </w:pPr>
      <w:r>
        <w:rPr/>
        <w:t>6. Налог на имущество физических лиц подлежит уплате налогоплательщиками в срок не позднее 1 декабря года, следующего за истекшим налоговым периодом.</w:t>
      </w:r>
    </w:p>
    <w:p>
      <w:pPr>
        <w:pStyle w:val="NormalWeb"/>
        <w:widowControl w:val="false"/>
        <w:spacing w:beforeAutospacing="0" w:before="0" w:afterAutospacing="0" w:after="0"/>
        <w:ind w:firstLine="709"/>
        <w:jc w:val="both"/>
        <w:rPr/>
      </w:pPr>
      <w:r>
        <w:rPr/>
        <w:t>7. Пр</w:t>
      </w:r>
      <w:r>
        <w:rPr>
          <w:color w:val="000000"/>
        </w:rPr>
        <w:t>изнать утратившим силу Решение Думы Советского сельского поселения №58/212 от 26.10.2018 «Об установлении налога на имущество физических лиц».</w:t>
      </w:r>
    </w:p>
    <w:p>
      <w:pPr>
        <w:pStyle w:val="NormalWeb"/>
        <w:spacing w:beforeAutospacing="0" w:before="0" w:afterAutospacing="0" w:after="0"/>
        <w:ind w:firstLine="709"/>
        <w:jc w:val="both"/>
        <w:rPr/>
      </w:pPr>
      <w:r>
        <w:rPr/>
        <w:t>8. Настоящее решение вступает в силу с 1 января  2020 года, но не ранее одного месяца со дня его официального опубликования.</w:t>
      </w:r>
    </w:p>
    <w:p>
      <w:pPr>
        <w:pStyle w:val="13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13"/>
        <w:jc w:val="both"/>
        <w:rPr>
          <w:b/>
          <w:b/>
          <w:bCs/>
          <w:color w:val="000000"/>
        </w:rPr>
      </w:pPr>
      <w:r>
        <w:rPr>
          <w:b/>
          <w:bCs/>
          <w:color w:val="000000"/>
          <w:sz w:val="24"/>
          <w:szCs w:val="24"/>
        </w:rPr>
        <w:t xml:space="preserve">Глава Советского сельского поселения                                 </w:t>
        <w:tab/>
        <w:tab/>
        <w:t xml:space="preserve">           А.Ф.Пак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Cambria">
    <w:charset w:val="cc"/>
    <w:family w:val="roman"/>
    <w:pitch w:val="variable"/>
  </w:font>
  <w:font w:name="Arial"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0" w:semiHidden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Normal (Web)" w:uiPriority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0a4e0b"/>
    <w:pPr>
      <w:widowControl/>
      <w:bidi w:val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link w:val="10"/>
    <w:qFormat/>
    <w:rsid w:val="000a4e0b"/>
    <w:pPr>
      <w:keepNext w:val="true"/>
      <w:spacing w:before="240" w:after="60"/>
      <w:outlineLvl w:val="0"/>
    </w:pPr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paragraph" w:styleId="4">
    <w:name w:val="Heading 4"/>
    <w:basedOn w:val="Normal"/>
    <w:next w:val="Normal"/>
    <w:link w:val="40"/>
    <w:unhideWhenUsed/>
    <w:qFormat/>
    <w:rsid w:val="000a4e0b"/>
    <w:pPr>
      <w:keepNext w:val="true"/>
      <w:spacing w:before="240" w:after="60"/>
      <w:outlineLvl w:val="3"/>
    </w:pPr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paragraph" w:styleId="6">
    <w:name w:val="Heading 6"/>
    <w:basedOn w:val="Normal"/>
    <w:next w:val="Normal"/>
    <w:link w:val="60"/>
    <w:semiHidden/>
    <w:unhideWhenUsed/>
    <w:qFormat/>
    <w:rsid w:val="000a4e0b"/>
    <w:pPr>
      <w:spacing w:before="240" w:after="60"/>
      <w:outlineLvl w:val="5"/>
    </w:pPr>
    <w:rPr>
      <w:rFonts w:ascii="Calibri" w:hAnsi="Calibri" w:eastAsia="Times New Roman" w:cs="Times New Roman"/>
      <w:b/>
      <w:bCs/>
      <w:lang w:eastAsia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0a4e0b"/>
    <w:rPr>
      <w:rFonts w:ascii="Cambria" w:hAnsi="Cambria" w:eastAsia="Times New Roman" w:cs="Times New Roman"/>
      <w:b/>
      <w:bCs/>
      <w:kern w:val="2"/>
      <w:sz w:val="32"/>
      <w:szCs w:val="32"/>
      <w:lang w:eastAsia="ru-RU"/>
    </w:rPr>
  </w:style>
  <w:style w:type="character" w:styleId="41" w:customStyle="1">
    <w:name w:val="Заголовок 4 Знак"/>
    <w:basedOn w:val="DefaultParagraphFont"/>
    <w:link w:val="4"/>
    <w:qFormat/>
    <w:rsid w:val="000a4e0b"/>
    <w:rPr>
      <w:rFonts w:ascii="Calibri" w:hAnsi="Calibri" w:eastAsia="Times New Roman" w:cs="Times New Roman"/>
      <w:b/>
      <w:bCs/>
      <w:sz w:val="28"/>
      <w:szCs w:val="28"/>
      <w:lang w:eastAsia="ru-RU"/>
    </w:rPr>
  </w:style>
  <w:style w:type="character" w:styleId="61" w:customStyle="1">
    <w:name w:val="Заголовок 6 Знак"/>
    <w:basedOn w:val="DefaultParagraphFont"/>
    <w:link w:val="6"/>
    <w:semiHidden/>
    <w:qFormat/>
    <w:rsid w:val="000a4e0b"/>
    <w:rPr>
      <w:rFonts w:ascii="Calibri" w:hAnsi="Calibri" w:eastAsia="Times New Roman" w:cs="Times New Roman"/>
      <w:b/>
      <w:bCs/>
      <w:lang w:eastAsia="ru-RU"/>
    </w:rPr>
  </w:style>
  <w:style w:type="character" w:styleId="ConsPlusNormal" w:customStyle="1">
    <w:name w:val="ConsPlusNormal Знак"/>
    <w:link w:val="ConsPlusNormal0"/>
    <w:qFormat/>
    <w:locked/>
    <w:rsid w:val="000a4e0b"/>
    <w:rPr>
      <w:rFonts w:ascii="Arial" w:hAnsi="Arial" w:cs="Arial"/>
    </w:rPr>
  </w:style>
  <w:style w:type="character" w:styleId="12" w:customStyle="1">
    <w:name w:val="Стиль1 Знак"/>
    <w:basedOn w:val="DefaultParagraphFont"/>
    <w:link w:val="11"/>
    <w:qFormat/>
    <w:rsid w:val="000a4e0b"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character" w:styleId="2" w:customStyle="1">
    <w:name w:val="Стиль2 Знак"/>
    <w:basedOn w:val="DefaultParagraphFont"/>
    <w:link w:val="2"/>
    <w:qFormat/>
    <w:rsid w:val="000a4e0b"/>
    <w:rPr>
      <w:rFonts w:ascii="Times New Roman" w:hAnsi="Times New Roman" w:cs="Times New Roman"/>
      <w:sz w:val="28"/>
      <w:szCs w:val="28"/>
    </w:rPr>
  </w:style>
  <w:style w:type="character" w:styleId="Style11">
    <w:name w:val="Интернет-ссылка"/>
    <w:basedOn w:val="DefaultParagraphFont"/>
    <w:uiPriority w:val="99"/>
    <w:semiHidden/>
    <w:unhideWhenUsed/>
    <w:rsid w:val="00dc3951"/>
    <w:rPr>
      <w:color w:val="0000FF"/>
      <w:u w:val="single"/>
    </w:rPr>
  </w:style>
  <w:style w:type="character" w:styleId="Style12" w:customStyle="1">
    <w:name w:val="Текст сноски Знак"/>
    <w:basedOn w:val="DefaultParagraphFont"/>
    <w:link w:val="a5"/>
    <w:qFormat/>
    <w:rsid w:val="007a3df3"/>
    <w:rPr>
      <w:rFonts w:ascii="Times New Roman" w:hAnsi="Times New Roman" w:eastAsia="Times New Roman" w:cs="Times New Roman"/>
      <w:sz w:val="20"/>
      <w:szCs w:val="20"/>
      <w:lang w:eastAsia="ru-RU"/>
    </w:rPr>
  </w:style>
  <w:style w:type="character" w:styleId="Style13">
    <w:name w:val="Привязка сноски"/>
    <w:rPr>
      <w:vertAlign w:val="superscript"/>
    </w:rPr>
  </w:style>
  <w:style w:type="character" w:styleId="FootnoteCharacters">
    <w:name w:val="Footnote Characters"/>
    <w:qFormat/>
    <w:rsid w:val="007a3df3"/>
    <w:rPr>
      <w:vertAlign w:val="superscript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4"/>
      <w:szCs w:val="24"/>
    </w:rPr>
  </w:style>
  <w:style w:type="character" w:styleId="ListLabel11">
    <w:name w:val="ListLabel 11"/>
    <w:qFormat/>
    <w:rPr>
      <w:rFonts w:ascii="Times New Roman" w:hAnsi="Times New Roman" w:cs="Times New Roman"/>
      <w:sz w:val="24"/>
      <w:szCs w:val="24"/>
    </w:rPr>
  </w:style>
  <w:style w:type="character" w:styleId="ListLabel12">
    <w:name w:val="ListLabel 12"/>
    <w:qFormat/>
    <w:rPr>
      <w:color w:val="000000"/>
      <w:sz w:val="24"/>
      <w:szCs w:val="24"/>
    </w:rPr>
  </w:style>
  <w:style w:type="character" w:styleId="ListLabel13">
    <w:name w:val="ListLabel 13"/>
    <w:qFormat/>
    <w:rPr>
      <w:rFonts w:ascii="Times New Roman" w:hAnsi="Times New Roman" w:cs="Times New Roman"/>
      <w:sz w:val="24"/>
      <w:szCs w:val="24"/>
    </w:rPr>
  </w:style>
  <w:style w:type="character" w:styleId="ListLabel14">
    <w:name w:val="ListLabel 14"/>
    <w:qFormat/>
    <w:rPr>
      <w:color w:val="000000"/>
      <w:sz w:val="24"/>
      <w:szCs w:val="24"/>
    </w:rPr>
  </w:style>
  <w:style w:type="character" w:styleId="ListLabel15">
    <w:name w:val="ListLabel 15"/>
    <w:qFormat/>
    <w:rPr>
      <w:rFonts w:ascii="Times New Roman" w:hAnsi="Times New Roman" w:cs="Times New Roman"/>
      <w:sz w:val="24"/>
      <w:szCs w:val="24"/>
    </w:rPr>
  </w:style>
  <w:style w:type="character" w:styleId="ListLabel16">
    <w:name w:val="ListLabel 16"/>
    <w:qFormat/>
    <w:rPr>
      <w:color w:val="000000"/>
      <w:sz w:val="24"/>
      <w:szCs w:val="24"/>
    </w:rPr>
  </w:style>
  <w:style w:type="character" w:styleId="ListLabel17">
    <w:name w:val="ListLabel 17"/>
    <w:qFormat/>
    <w:rPr>
      <w:rFonts w:ascii="Times New Roman" w:hAnsi="Times New Roman" w:cs="Times New Roman"/>
      <w:sz w:val="24"/>
      <w:szCs w:val="24"/>
    </w:rPr>
  </w:style>
  <w:style w:type="character" w:styleId="ListLabel18">
    <w:name w:val="ListLabel 18"/>
    <w:qFormat/>
    <w:rPr>
      <w:color w:val="000000"/>
      <w:sz w:val="24"/>
      <w:szCs w:val="24"/>
    </w:rPr>
  </w:style>
  <w:style w:type="character" w:styleId="ListLabel19">
    <w:name w:val="ListLabel 19"/>
    <w:qFormat/>
    <w:rPr>
      <w:rFonts w:ascii="Times New Roman" w:hAnsi="Times New Roman" w:cs="Times New Roman"/>
      <w:sz w:val="24"/>
      <w:szCs w:val="24"/>
    </w:rPr>
  </w:style>
  <w:style w:type="character" w:styleId="ListLabel20">
    <w:name w:val="ListLabel 20"/>
    <w:qFormat/>
    <w:rPr>
      <w:color w:val="000000"/>
      <w:sz w:val="24"/>
      <w:szCs w:val="24"/>
    </w:rPr>
  </w:style>
  <w:style w:type="character" w:styleId="ListLabel21">
    <w:name w:val="ListLabel 21"/>
    <w:qFormat/>
    <w:rPr>
      <w:rFonts w:ascii="Times New Roman" w:hAnsi="Times New Roman" w:cs="Times New Roman"/>
      <w:sz w:val="24"/>
      <w:szCs w:val="24"/>
    </w:rPr>
  </w:style>
  <w:style w:type="character" w:styleId="ListLabel22">
    <w:name w:val="ListLabel 22"/>
    <w:qFormat/>
    <w:rPr>
      <w:color w:val="000000"/>
      <w:sz w:val="24"/>
      <w:szCs w:val="24"/>
    </w:rPr>
  </w:style>
  <w:style w:type="character" w:styleId="ListLabel23">
    <w:name w:val="ListLabel 2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24">
    <w:name w:val="ListLabel 24"/>
    <w:qFormat/>
    <w:rPr>
      <w:rFonts w:ascii="Times New Roman" w:hAnsi="Times New Roman" w:cs="Times New Roman"/>
      <w:sz w:val="24"/>
      <w:szCs w:val="24"/>
    </w:rPr>
  </w:style>
  <w:style w:type="character" w:styleId="ListLabel25">
    <w:name w:val="ListLabel 25"/>
    <w:qFormat/>
    <w:rPr>
      <w:color w:val="000000"/>
      <w:sz w:val="24"/>
      <w:szCs w:val="24"/>
    </w:rPr>
  </w:style>
  <w:style w:type="character" w:styleId="ListLabel26">
    <w:name w:val="ListLabel 26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27">
    <w:name w:val="ListLabel 27"/>
    <w:qFormat/>
    <w:rPr>
      <w:rFonts w:ascii="Times New Roman" w:hAnsi="Times New Roman" w:cs="Times New Roman"/>
      <w:sz w:val="24"/>
      <w:szCs w:val="24"/>
    </w:rPr>
  </w:style>
  <w:style w:type="character" w:styleId="ListLabel28">
    <w:name w:val="ListLabel 28"/>
    <w:qFormat/>
    <w:rPr>
      <w:color w:val="000000"/>
      <w:sz w:val="24"/>
      <w:szCs w:val="24"/>
    </w:rPr>
  </w:style>
  <w:style w:type="character" w:styleId="ListLabel29">
    <w:name w:val="ListLabel 29"/>
    <w:qFormat/>
    <w:rPr>
      <w:b w:val="false"/>
      <w:i w:val="false"/>
      <w:caps w:val="false"/>
      <w:smallCaps w:val="false"/>
      <w:strike w:val="false"/>
      <w:dstrike w:val="false"/>
      <w:color w:val="000000"/>
      <w:spacing w:val="0"/>
      <w:sz w:val="24"/>
      <w:u w:val="none"/>
      <w:effect w:val="none"/>
    </w:rPr>
  </w:style>
  <w:style w:type="character" w:styleId="ListLabel30">
    <w:name w:val="ListLabel 30"/>
    <w:qFormat/>
    <w:rPr>
      <w:rFonts w:ascii="Times New Roman" w:hAnsi="Times New Roman" w:cs="Times New Roman"/>
      <w:sz w:val="24"/>
      <w:szCs w:val="24"/>
    </w:rPr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Arial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Arial"/>
    </w:rPr>
  </w:style>
  <w:style w:type="paragraph" w:styleId="ConsPlusNormal1" w:customStyle="1">
    <w:name w:val="ConsPlusNormal"/>
    <w:link w:val="ConsPlusNormal"/>
    <w:qFormat/>
    <w:rsid w:val="000a4e0b"/>
    <w:pPr>
      <w:widowControl w:val="false"/>
      <w:bidi w:val="0"/>
      <w:ind w:firstLine="720"/>
      <w:jc w:val="left"/>
    </w:pPr>
    <w:rPr>
      <w:rFonts w:ascii="Arial" w:hAnsi="Arial" w:eastAsia="Calibri" w:cs="Arial" w:eastAsiaTheme="minorHAnsi"/>
      <w:color w:val="auto"/>
      <w:kern w:val="0"/>
      <w:sz w:val="22"/>
      <w:szCs w:val="22"/>
      <w:lang w:val="ru-RU" w:eastAsia="en-US" w:bidi="ar-SA"/>
    </w:rPr>
  </w:style>
  <w:style w:type="paragraph" w:styleId="13" w:customStyle="1">
    <w:name w:val="Стиль1"/>
    <w:basedOn w:val="Normal"/>
    <w:link w:val="12"/>
    <w:qFormat/>
    <w:rsid w:val="000a4e0b"/>
    <w:pPr/>
    <w:rPr>
      <w:rFonts w:ascii="Times New Roman" w:hAnsi="Times New Roman" w:eastAsia="" w:cs="Times New Roman" w:eastAsiaTheme="minorEastAsia"/>
      <w:sz w:val="28"/>
      <w:szCs w:val="28"/>
      <w:lang w:eastAsia="ru-RU"/>
    </w:rPr>
  </w:style>
  <w:style w:type="paragraph" w:styleId="21" w:customStyle="1">
    <w:name w:val="Стиль2"/>
    <w:basedOn w:val="Normal"/>
    <w:link w:val="20"/>
    <w:qFormat/>
    <w:rsid w:val="000a4e0b"/>
    <w:pPr>
      <w:jc w:val="both"/>
    </w:pPr>
    <w:rPr>
      <w:rFonts w:ascii="Times New Roman" w:hAnsi="Times New Roman" w:cs="Times New Roman"/>
      <w:sz w:val="28"/>
      <w:szCs w:val="28"/>
    </w:rPr>
  </w:style>
  <w:style w:type="paragraph" w:styleId="NormalWeb">
    <w:name w:val="Normal (Web)"/>
    <w:basedOn w:val="Normal"/>
    <w:qFormat/>
    <w:rsid w:val="007a3df3"/>
    <w:pPr>
      <w:spacing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9">
    <w:name w:val="Footnote Text"/>
    <w:basedOn w:val="Normal"/>
    <w:link w:val="a6"/>
    <w:rsid w:val="007a3df3"/>
    <w:pPr/>
    <w:rPr>
      <w:rFonts w:ascii="Times New Roman" w:hAnsi="Times New Roman" w:eastAsia="Times New Roman" w:cs="Times New Roman"/>
      <w:sz w:val="20"/>
      <w:szCs w:val="20"/>
      <w:lang w:eastAsia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://pravo.minjust.ru:8080/bigs/showDocument.html?id=F7DE1846-3C6A-47AB-B440-B8E4CEA90C68" TargetMode="External"/><Relationship Id="rId3" Type="http://schemas.openxmlformats.org/officeDocument/2006/relationships/hyperlink" Target="http://pravo.minjust.ru:8080/bigs/showDocument.html?id=96E20C02-1B12-465A-B64C-24AA92270007" TargetMode="External"/><Relationship Id="rId4" Type="http://schemas.openxmlformats.org/officeDocument/2006/relationships/hyperlink" Target="consultantplus://offline/ref=939B29C29A502A16FC028FAD5B437411F9CE5E2F73E5E37E04F77C018DDC10E52BC902DF74AFABBC571C85CB50CA05909DFDE3461868EA6DD1c7M" TargetMode="External"/><Relationship Id="rId5" Type="http://schemas.openxmlformats.org/officeDocument/2006/relationships/hyperlink" Target="consultantplus://offline/ref=939B29C29A502A16FC028FAD5B437411F9CE5C267BE1E37E04F77C018DDC10E52BC902DF74AFABBE551C85CB50CA05909DFDE3461868EA6DD1c7M" TargetMode="External"/><Relationship Id="rId6" Type="http://schemas.openxmlformats.org/officeDocument/2006/relationships/hyperlink" Target="consultantplus://offline/ref=939B29C29A502A16FC028FAD5B437411F8C45B2372E4E37E04F77C018DDC10E52BC902DF70ACA3BF5D4380DE419208998AE2E258046AEBD6c5M" TargetMode="Externa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1348</TotalTime>
  <Application>LibreOffice/6.2.4.2$Windows_x86 LibreOffice_project/2412653d852ce75f65fbfa83fb7e7b669a126d64</Application>
  <Pages>3</Pages>
  <Words>853</Words>
  <Characters>5649</Characters>
  <CharactersWithSpaces>6528</CharactersWithSpaces>
  <Paragraphs>82</Paragraphs>
  <Company>HP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2019-10-17T08:47:00Z</dcterms:created>
  <dc:creator>Владимир</dc:creator>
  <dc:description/>
  <dc:language>ru-RU</dc:language>
  <cp:lastModifiedBy/>
  <cp:lastPrinted>2019-11-22T15:47:16Z</cp:lastPrinted>
  <dcterms:modified xsi:type="dcterms:W3CDTF">2019-11-25T08:17:55Z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