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11735" w:type="dxa"/>
        <w:jc w:val="left"/>
        <w:tblInd w:w="-142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735"/>
      </w:tblGrid>
      <w:tr>
        <w:trPr>
          <w:trHeight w:val="100" w:hRule="atLeast"/>
        </w:trPr>
        <w:tc>
          <w:tcPr>
            <w:tcW w:w="11735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от «24» августа 2020 года                 №  133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__DdeLink__899_1075878643"/>
      <w:r>
        <w:rPr>
          <w:rFonts w:cs="Times New Roman" w:ascii="Times New Roman" w:hAnsi="Times New Roman"/>
          <w:b/>
          <w:bCs/>
          <w:sz w:val="28"/>
          <w:szCs w:val="28"/>
        </w:rPr>
        <w:t>ОБ  УТВЕРЖДЕНИИ  ПОРЯДКА ОПРЕДЕЛЕНИЯ ЦЕНЫ ПРОДАЖИ ЗЕМЕЛЬНЫХ УЧАСТКОВ</w:t>
      </w:r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, НАХОДЯЩИХСЯ В МУНИЦИПАЛЬНОЙ СОБСТВЕННОСТИ СОВЕТСКОГО СЕЛЬСКОГО ПОСЕЛЕНИЯ КАЛАЧЕВСКОГО МУНИЦИПАЛЬНОГО РАЙОНА ВОЛГОГРАДСКОЙ ОБЛАСТИ ПРИ ЗАКЛЮЧЕНИИ ДОГОВОРОВ КУПЛИ-ПРОДАЖИ ЗЕМЕЛЬНЫХ УЧАСТКОВ,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НАХОДЯЩИМИСЯ В МУНИЦИПАЛЬНОЙ СОБСТВЕННОСТИ СОВЕТСКОГО СЕЛЬСКОГО ПОСЕЛЕНИЯ КАЛАЧЕВСКОГО МУНИЦИПАЛЬНОГО РАЙОНА ВОЛГОГРАДСКОЙ ОБЛАСТИ</w:t>
      </w:r>
    </w:p>
    <w:p>
      <w:pPr>
        <w:pStyle w:val="BodyText3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пунктом 2 статьи 39.4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3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п. 5 статьи 39.28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4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25.10.2001 N 137-ФЗ "О введении в действие Земельного кодекса Российской Федерации", руководствуясь Уставом Советского сельского поселения Калачевского муниципального района Волгоградской области, постановляю: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1. Утвердить прилагаемый </w:t>
      </w:r>
      <w:hyperlink w:anchor="Par38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определения цены продажи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 при заключении договоров купли-продажи земельных участков,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находящимися в муниципальной собственности </w:t>
      </w:r>
      <w:r>
        <w:rPr>
          <w:rFonts w:cs="Times New Roman" w:ascii="Times New Roman" w:hAnsi="Times New Roman"/>
          <w:sz w:val="28"/>
          <w:szCs w:val="28"/>
        </w:rPr>
        <w:t xml:space="preserve">Советского сельского поселения </w:t>
      </w:r>
      <w:r>
        <w:rPr>
          <w:rFonts w:cs="Times New Roman" w:ascii="Times New Roman" w:hAnsi="Times New Roman"/>
          <w:sz w:val="28"/>
          <w:szCs w:val="28"/>
        </w:rPr>
        <w:t>Калачевского муниципального района Волгоградской области.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2. Настоящее постановление подлежит обнародованию и размещению на официальном сайте Советского сельского поселения Калачевского муниципального района Волгоградской области:</w:t>
      </w:r>
      <w:r>
        <w:rPr>
          <w:sz w:val="28"/>
          <w:szCs w:val="28"/>
        </w:rPr>
        <w:t xml:space="preserve"> </w:t>
      </w:r>
      <w:hyperlink r:id="rId5">
        <w:r>
          <w:rPr>
            <w:rStyle w:val="Style12"/>
            <w:sz w:val="28"/>
            <w:szCs w:val="28"/>
          </w:rPr>
          <w:t>www.советское-сп.рф</w:t>
        </w:r>
      </w:hyperlink>
      <w:r>
        <w:rPr>
          <w:sz w:val="28"/>
          <w:szCs w:val="28"/>
        </w:rPr>
        <w:t>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7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 сельского поселения                                         А.Ф. Пак</w:t>
      </w:r>
    </w:p>
    <w:p>
      <w:pPr>
        <w:pStyle w:val="Normal"/>
        <w:tabs>
          <w:tab w:val="clear" w:pos="708"/>
          <w:tab w:val="left" w:pos="198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Советского сельского поселения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Калачевского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Волгоградской области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«24»  августа 2020г.  № 133</w:t>
      </w:r>
    </w:p>
    <w:p>
      <w:pPr>
        <w:pStyle w:val="Normal"/>
        <w:widowControl w:val="false"/>
        <w:tabs>
          <w:tab w:val="clear" w:pos="708"/>
          <w:tab w:val="left" w:pos="53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537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" w:name="Par38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ПОРЯДОК ОПРЕДЕЛЕНИЯ ЦЕНЫ ПРОДАЖИ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 ПРИ ЗАКЛЮЧЕНИИ ДОГОВОРОВ КУПЛИ-ПРОДАЖИ ЗЕМЕЛЬНЫХ УЧАСТКОВ, А ТАКЖЕ ОПРЕДЕЛЕНИЯ РАЗМЕРА ПЛАТЫ ЗА УВЕЛИЧЕНИЕ ПЛОЩАДИ ЗЕМЕЛЬНЫХ УЧАСТКОВ, НАХОДЯЩИХСЯ В ЧАСТНОЙ  СОБСТВЕННОСТИ, В РЕЗУЛЬТАТЕ ИХ ПЕРЕРАСПРЕДЕЛЕНИЯ С ЗЕМЛЯМИ И (ИЛИ) ЗЕМЕЛЬНЫМИ УЧАСТКАМИ, НАХОДЯЩИМИСЯ В МУНИЦИПАЛЬНОЙ СОБСТВЕННОСТИ СОВЕТСКОГО СЕЛЬСКОГО КАЛАЧЕВСКОГО  МУНИЦИПАЛЬНОГО РАЙОНА ВОЛГОГРАДСКОЙ ОБЛАСТИ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Порядок определения цены продажи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находящимися в муниципальной собственности Советского сельского поселения Калачевского муниципального района Волгоградской области (далее - Порядок), разработан в соответствии с </w:t>
      </w:r>
      <w:hyperlink r:id="rId6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пунктом 2 статьи 39.4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7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пунктом 5 статьи 39.28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Настоящий Порядок устанавливает порядок определения: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цены продажи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при заключении договора купли-продажи земельного участка без проведения торгов;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находящимися в муниципальной собственности Советского сельского поселения Калачевского муниципального района Волгоградской области.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Общие положения установления цены продажи земельных участков определяются Земельным </w:t>
      </w:r>
      <w:hyperlink r:id="rId8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Определение цены продажи земельного участка при применении правил и порядка установления цены продажи, которые предусмотрены Федеральным </w:t>
      </w:r>
      <w:hyperlink r:id="rId9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25.10.2001 N 137-ФЗ "О введении в действие Земельного кодекса Российской Федерации", а также в соответствии с настоящим Порядком осуществляется на основании кадастровой стоимости земельного участка, содержащейся в сведениях государственного кадастра недвижимости, или ставки земельного налога за единицу площади земельного участка, рассчитываемой в соответствии с законодательством о налогах и сборах от кадастровой стоимости земельного участка.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>
        <w:rPr>
          <w:rFonts w:cs="Times New Roman" w:ascii="Times New Roman" w:hAnsi="Times New Roman"/>
          <w:sz w:val="28"/>
          <w:szCs w:val="28"/>
        </w:rPr>
        <w:t>4. Для юридических лиц, переоформляющих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года, цена продажи устанавливается, если иной порядок установления цены продажи не предусмотрен Федеральным законом, в размере:</w:t>
      </w:r>
      <w:bookmarkStart w:id="3" w:name="Par57"/>
      <w:bookmarkEnd w:id="3"/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Двух с половиной процентов кадастровой стоимости земельного участка - в случаях продажи участков коммерческим организациям, являющимся собственниками расположенных на таких участках линий электропередачи, линий связи, трубопроводов, дорог, железнодорожных линий и других подобных сооружений (далее - линейные объекты), если линейные объекты были отчуждены из собственности Советского сельского поселения Калачевского муниципального района Волгоградской области, в том числе в случае, если на таких земельных участках возведены или реконструированы линейные объекты, либо если эти линейные объекты были возведены на таких земельных участках вместо разрушенных или снесенных и ранее отчужденных из муниципальной собственности Советского сельского поселения Калачевского муниципального района Волгоградской области линейных объектов, юридическим лицам, являющимся собственниками расположенных на таких земельных участках линейных объектов, а также в случаях продажи некоммерческим организациям, являющимся собственниками расположенных на таких земельных участках линейных объектов, если право собственности указанных лиц на эти линейные объекты возникло до вступления в силу Земельного </w:t>
      </w:r>
      <w:hyperlink r:id="rId10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кодекса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собственность.</w:t>
      </w:r>
    </w:p>
    <w:p>
      <w:pPr>
        <w:pStyle w:val="Normal"/>
        <w:widowControl w:val="false"/>
        <w:ind w:firstLine="540"/>
        <w:jc w:val="both"/>
        <w:rPr/>
      </w:pPr>
      <w:bookmarkStart w:id="4" w:name="Par58"/>
      <w:bookmarkEnd w:id="4"/>
      <w:r>
        <w:rPr>
          <w:rFonts w:cs="Times New Roman" w:ascii="Times New Roman" w:hAnsi="Times New Roman"/>
          <w:sz w:val="28"/>
          <w:szCs w:val="28"/>
        </w:rPr>
        <w:t xml:space="preserve">Десятикратного размера ставки земельного налога за единицу площади земельного участка - в случаях продажи участков собственникам линейных объектов, не указанным в </w:t>
      </w:r>
      <w:hyperlink w:anchor="Par57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абзаце втором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пункта.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При продаже застроенных земельных участков лица, указанные в </w:t>
      </w:r>
      <w:hyperlink w:anchor="Par57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абзаце втором пункта 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приобретают участки по цене, рассчитываемой по формуле: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= КС x 2,5%,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- цена продажи земельного участка;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КС - кадастровая стоимость земельного участка;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2,5% - установленный размер процента кадастровой стоимости земельного участка.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При продаже застроенных земельных участков лица, указанные в </w:t>
      </w:r>
      <w:hyperlink w:anchor="Par58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абзаце третьем пункта 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приобретают участки по цене, рассчитываемой по формуле: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= УПКСЗ x РНС x S x 10,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- цена продажи земельного участка;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УПКСЗ - удельный показатель кадастровой стоимости земли;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РНС - налоговая ставка земельного налога;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 - площадь земельного участка;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10 - установленная кратность ставки земельного налога.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 При продаже земельных участков в случаях, указанных в </w:t>
      </w:r>
      <w:hyperlink r:id="rId11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пункте 2 статьи 39.3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Земельного кодекса Российской Федерации, за исключением случаев, указанных в </w:t>
      </w:r>
      <w:hyperlink w:anchor="Par56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пункте 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земельные участки приобретаются по цене, рассчитываемой по формуле: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= КС x П,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- цена земельного участка;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КС - кадастровая стоимость земельного участка;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 - процент от кадастровой стоимости земельного участка в размере, установленном согласно </w:t>
      </w:r>
      <w:hyperlink w:anchor="Par106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приложению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настоящему Порядку.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Размер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находящимися в муниципальной собственности Советского сельского поселения Калачевского муниципального района Волгоградской области, определяется: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как 15% кадастровой стоимости земельного участка, находящегося в муниципальной собственности Советского сельского Калачевского муниципального района,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подлежащей передаче в частную собственность в результате перераспределения земельных участков.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Расчет цены продажи земельных участков указывается в договоре купли-продажи земельного участка.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Расчет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находящимися в муниципальной собственности Советского сельского поселения Калачевского муниципального района Волгоградской области, указывается в соглашении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соглашение).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Оплата земельного участка по договору купли-продажи или соглашению осуществляется покупателями единовременным платежом в течение 30 календарных дней с  момента заключения  договора купли-продажи или соглашения по указанным в них реквизитам.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 В подтверждение внесения оплаты по договору купли-продажи земельного участка или соглашению покупатели в день оплаты представляют копию платежного документа с отметкой банка в администрацию </w:t>
      </w:r>
      <w:r>
        <w:rPr>
          <w:rFonts w:cs="Times New Roman" w:ascii="Times New Roman" w:hAnsi="Times New Roman"/>
          <w:sz w:val="28"/>
          <w:szCs w:val="28"/>
        </w:rPr>
        <w:t xml:space="preserve">Советского сельского поселения </w:t>
      </w:r>
      <w:r>
        <w:rPr>
          <w:rFonts w:cs="Times New Roman" w:ascii="Times New Roman" w:hAnsi="Times New Roman"/>
          <w:sz w:val="28"/>
          <w:szCs w:val="28"/>
        </w:rPr>
        <w:t>Калачевского муниципального района Волгоградской области.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За нарушение срока внесения оплаты покупателями земельного участка уплачиваются пени за каждый день просрочки в размере, установленном договором купли-продажи земельного участка или соглашением.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bookmarkStart w:id="5" w:name="Par98"/>
      <w:bookmarkEnd w:id="5"/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 определения,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утвержденному постановлением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Советского сельского поселения 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Калачевского муниципального района 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Волгоградской области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«24» августа 2020г. № 133</w:t>
      </w:r>
    </w:p>
    <w:p>
      <w:pPr>
        <w:pStyle w:val="Normal"/>
        <w:tabs>
          <w:tab w:val="clear" w:pos="708"/>
          <w:tab w:val="left" w:pos="661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6" w:name="Par106"/>
      <w:bookmarkEnd w:id="6"/>
      <w:r>
        <w:rPr>
          <w:rFonts w:cs="Times New Roman" w:ascii="Times New Roman" w:hAnsi="Times New Roman"/>
          <w:b/>
          <w:bCs/>
          <w:sz w:val="28"/>
          <w:szCs w:val="28"/>
        </w:rPr>
        <w:t>РАЗМЕРЫ ПРОЦЕНТОВ ОТ КАДАСТРОВОЙ СТОИМОСТИ ЗЕМЕЛЬНЫХ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УЧАСТКОВ, ПРИМЕНЯЕМЫЕ ДЛЯ РАСЧЕТА ЦЕНЫ ПРОДАЖИ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ЗЕМЕЛЬНЫХ УЧАСТКОВ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7087"/>
        <w:gridCol w:w="1988"/>
      </w:tblGrid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продажи земельного участка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процента от кадастровой стоимости</w:t>
            </w:r>
          </w:p>
        </w:tc>
      </w:tr>
      <w:tr>
        <w:trPr>
          <w:trHeight w:val="366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      </w:r>
            <w:hyperlink r:id="rId12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Российской Федерации заключен договор о комплексном освоении территории, если иное не предусмотрено </w:t>
            </w:r>
            <w:hyperlink w:anchor="Par119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позициями 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и </w:t>
            </w:r>
            <w:hyperlink w:anchor="Par125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4</w:t>
              </w:r>
            </w:hyperlink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19"/>
            <w:bookmarkEnd w:id="7"/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25"/>
            <w:bookmarkEnd w:id="8"/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участки, на которых расположены здания, сооружения, включая объекты сельскохозяйственного производства, садоводства, огородничества, животноводства, дачного хозяйства, объектов инженерной инфраструктуры, жилищно-коммунального комплекса, собственникам таких зданий, сооружений либо помещений в них в случаях, предусмотренных </w:t>
            </w:r>
            <w:hyperlink r:id="rId13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ст. 39.20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участки, на которых расположены объекты индивидуального жилищного фонда, собственникам таких объектов в случаях, предусмотренных </w:t>
            </w:r>
            <w:hyperlink r:id="rId14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ст. 39.20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      </w:r>
            <w:hyperlink r:id="rId15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пункте 2 статьи 39.9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 крестьянскому (фермерскому) хозяйству или сельскохозяйственной организации в случаях, установленных Федеральным </w:t>
            </w:r>
            <w:hyperlink r:id="rId16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"Об обороте земель сельскохозяйственного назначения"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hyperlink r:id="rId17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статьей 39.18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</w:tr>
    </w:tbl>
    <w:p>
      <w:pPr>
        <w:pStyle w:val="Normal"/>
        <w:widowControl w:val="false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6784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f76784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sz w:val="36"/>
      <w:szCs w:val="20"/>
    </w:rPr>
  </w:style>
  <w:style w:type="paragraph" w:styleId="7">
    <w:name w:val="Heading 7"/>
    <w:basedOn w:val="Normal"/>
    <w:next w:val="Normal"/>
    <w:link w:val="70"/>
    <w:qFormat/>
    <w:rsid w:val="00f76784"/>
    <w:p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qFormat/>
    <w:rsid w:val="00f7678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f76784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f7678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e52b05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30"/>
    <w:unhideWhenUsed/>
    <w:qFormat/>
    <w:rsid w:val="00f76784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ABFD61E71149EB5E74AD18293D179CA1D75B1BE31F96A1AB5D4A7A357607C9574A9482A53C5t8M" TargetMode="External"/><Relationship Id="rId3" Type="http://schemas.openxmlformats.org/officeDocument/2006/relationships/hyperlink" Target="consultantplus://offline/ref=6ABFD61E71149EB5E74AD18293D179CA1D75B1BE31F96A1AB5D4A7A357607C9574A948275EC5tDM" TargetMode="External"/><Relationship Id="rId4" Type="http://schemas.openxmlformats.org/officeDocument/2006/relationships/hyperlink" Target="consultantplus://offline/ref=6ABFD61E71149EB5E74AD18293D179CA1D75B1BE3EF16A1AB5D4A7A357C6t0M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consultantplus://offline/ref=6ABFD61E71149EB5E74AD18293D179CA1D75B1BE31F96A1AB5D4A7A357607C9574A9482A53C5t8M" TargetMode="External"/><Relationship Id="rId7" Type="http://schemas.openxmlformats.org/officeDocument/2006/relationships/hyperlink" Target="consultantplus://offline/ref=6ABFD61E71149EB5E74AD18293D179CA1D75B1BE31F96A1AB5D4A7A357607C9574A948275EC5tDM" TargetMode="External"/><Relationship Id="rId8" Type="http://schemas.openxmlformats.org/officeDocument/2006/relationships/hyperlink" Target="consultantplus://offline/ref=6ABFD61E71149EB5E74AD18293D179CA1D75B1BE31F96A1AB5D4A7A357C6t0M" TargetMode="External"/><Relationship Id="rId9" Type="http://schemas.openxmlformats.org/officeDocument/2006/relationships/hyperlink" Target="consultantplus://offline/ref=6ABFD61E71149EB5E74AD18293D179CA1D75B1BE3EF16A1AB5D4A7A357C6t0M" TargetMode="External"/><Relationship Id="rId10" Type="http://schemas.openxmlformats.org/officeDocument/2006/relationships/hyperlink" Target="consultantplus://offline/ref=6ABFD61E71149EB5E74AD18293D179CA1D75B1BE31F96A1AB5D4A7A357C6t0M" TargetMode="External"/><Relationship Id="rId11" Type="http://schemas.openxmlformats.org/officeDocument/2006/relationships/hyperlink" Target="consultantplus://offline/ref=6ABFD61E71149EB5E74AD18293D179CA1D75B1BE31F96A1AB5D4A7A357607C9574A9482A55C5tFM" TargetMode="External"/><Relationship Id="rId12" Type="http://schemas.openxmlformats.org/officeDocument/2006/relationships/hyperlink" Target="consultantplus://offline/ref=6ABFD61E71149EB5E74AD18293D179CA1D75B1B33EF46A1AB5D4A7A357C6t0M" TargetMode="External"/><Relationship Id="rId13" Type="http://schemas.openxmlformats.org/officeDocument/2006/relationships/hyperlink" Target="consultantplus://offline/ref=6ABFD61E71149EB5E74AD18293D179CA1D75B1BE31F96A1AB5D4A7A357607C9574A948265EC5tEM" TargetMode="External"/><Relationship Id="rId14" Type="http://schemas.openxmlformats.org/officeDocument/2006/relationships/hyperlink" Target="consultantplus://offline/ref=6ABFD61E71149EB5E74AD18293D179CA1D75B1BE31F96A1AB5D4A7A357607C9574A948265EC5tEM" TargetMode="External"/><Relationship Id="rId15" Type="http://schemas.openxmlformats.org/officeDocument/2006/relationships/hyperlink" Target="consultantplus://offline/ref=6ABFD61E71149EB5E74AD18293D179CA1D75B1BE31F96A1AB5D4A7A357607C9574A9482B50C5t9M" TargetMode="External"/><Relationship Id="rId16" Type="http://schemas.openxmlformats.org/officeDocument/2006/relationships/hyperlink" Target="consultantplus://offline/ref=6ABFD61E71149EB5E74AD18293D179CA1D75B1BD36F26A1AB5D4A7A357C6t0M" TargetMode="External"/><Relationship Id="rId17" Type="http://schemas.openxmlformats.org/officeDocument/2006/relationships/hyperlink" Target="consultantplus://offline/ref=6ABFD61E71149EB5E74AD18293D179CA1D75B1BE31F96A1AB5D4A7A357607C9574A9482653C5t2M" TargetMode="Externa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LibreOffice/6.2.4.2$Windows_x86 LibreOffice_project/2412653d852ce75f65fbfa83fb7e7b669a126d64</Application>
  <Pages>11</Pages>
  <Words>1720</Words>
  <Characters>12928</Characters>
  <CharactersWithSpaces>14641</CharactersWithSpaces>
  <Paragraphs>111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2020-08-25T10:21:00Z</dcterms:created>
  <dc:creator>user</dc:creator>
  <dc:description/>
  <dc:language>ru-RU</dc:language>
  <cp:lastModifiedBy/>
  <cp:lastPrinted>2021-07-30T14:07:57Z</cp:lastPrinted>
  <dcterms:modified xsi:type="dcterms:W3CDTF">2021-07-30T14:54:03Z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