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СОВЕТСКОГО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КАЛАЧЁВСКОГО  МУНИЦИПАЛЬНОГО РАЙОНА</w:t>
      </w:r>
    </w:p>
    <w:p>
      <w:pPr>
        <w:pStyle w:val="5"/>
        <w:spacing w:before="0" w:after="0"/>
        <w:jc w:val="center"/>
        <w:rPr>
          <w:rFonts w:ascii="Times New Roman" w:hAnsi="Times New Roman"/>
          <w:i w:val="false"/>
          <w:i w:val="false"/>
          <w:sz w:val="28"/>
          <w:szCs w:val="28"/>
        </w:rPr>
      </w:pPr>
      <w:r>
        <w:rPr>
          <w:rFonts w:ascii="Times New Roman" w:hAnsi="Times New Roman"/>
          <w:i w:val="false"/>
          <w:sz w:val="28"/>
          <w:szCs w:val="28"/>
        </w:rPr>
        <w:t>ВОЛГОГРАДСКОЙ 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bCs/>
          <w:sz w:val="28"/>
          <w:szCs w:val="28"/>
        </w:rPr>
        <w:t xml:space="preserve">     </w:t>
      </w:r>
      <w:r>
        <w:rPr>
          <w:rFonts w:cs="Times New Roman" w:ascii="Times New Roman" w:hAnsi="Times New Roman"/>
          <w:bCs/>
          <w:sz w:val="28"/>
          <w:szCs w:val="28"/>
        </w:rPr>
        <w:t>«</w:t>
      </w:r>
      <w:r>
        <w:rPr>
          <w:rFonts w:cs="Times New Roman" w:ascii="Times New Roman" w:hAnsi="Times New Roman"/>
          <w:bCs/>
          <w:sz w:val="28"/>
          <w:szCs w:val="28"/>
        </w:rPr>
        <w:t xml:space="preserve">25» марта </w:t>
      </w:r>
      <w:r>
        <w:rPr>
          <w:rFonts w:cs="Times New Roman" w:ascii="Times New Roman" w:hAnsi="Times New Roman"/>
          <w:bCs/>
          <w:sz w:val="28"/>
          <w:szCs w:val="28"/>
        </w:rPr>
        <w:t xml:space="preserve">2025 г.                          № </w:t>
      </w:r>
      <w:r>
        <w:rPr>
          <w:rFonts w:cs="Times New Roman" w:ascii="Times New Roman" w:hAnsi="Times New Roman"/>
          <w:bCs/>
          <w:sz w:val="28"/>
          <w:szCs w:val="28"/>
        </w:rPr>
        <w:t>55</w:t>
      </w:r>
    </w:p>
    <w:p>
      <w:pPr>
        <w:pStyle w:val="Normal"/>
        <w:tabs>
          <w:tab w:val="clear" w:pos="708"/>
          <w:tab w:val="left" w:pos="4395" w:leader="none"/>
        </w:tabs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sz w:val="28"/>
          <w:szCs w:val="28"/>
        </w:rPr>
        <w:t>Об утверждении отчета об исполнении муниципальной программы 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2022-2026 годы  за 2024  год</w:t>
      </w:r>
    </w:p>
    <w:p>
      <w:pPr>
        <w:pStyle w:val="Normal"/>
        <w:tabs>
          <w:tab w:val="clear" w:pos="708"/>
          <w:tab w:val="left" w:pos="4395" w:leader="none"/>
        </w:tabs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постановлением Администрации Советского сельского поселения от 08.12.2022  №165  «Об утверждении Порядка разработки, реализации и оценки эффективности муниципальных программ  Советского сельского поселения»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ПОСТАНОВЛЯЮ: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1. Утвердить годовой отчет о реализации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муниципальной программы 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2022-2026 годы, утвержденной постановлением администрации Советского сельского поселения Калачевского муниципального района Волгоградской области от 12.11.2021 года  №  142 Об утверждении муниципальной  программы 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2022-2026 годы за 2024 год  согласно приложению к настоящему постановлению.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2.  Постановление  подлежит  обнародованию в установленном порядке, и на официальном сайте Советского  сельского поселения в  сети Интернет.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3. Контроль за выполнением постановления оставляю за собой.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Глава Советского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сельского поселения                                                                    А.Ф. Пак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>Приложение № 1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к  Постановлению главы  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>Советского сельского поселения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/>
      </w:pPr>
      <w:r>
        <w:rPr>
          <w:rFonts w:cs="Times New Roman" w:ascii="Times New Roman" w:hAnsi="Times New Roman"/>
          <w:b/>
          <w:color w:val="000000"/>
          <w:spacing w:val="-5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 xml:space="preserve">от </w:t>
      </w:r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>25.03.2025г.</w:t>
      </w:r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 xml:space="preserve"> №</w:t>
      </w:r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>55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ОТЧЕТ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 исполнении муниципальной программы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2022-2026 годы  за 2024 год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Раздел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b/>
          <w:sz w:val="24"/>
          <w:szCs w:val="24"/>
        </w:rPr>
        <w:t>. Основные результаты.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Основные результаты, достигнутые в отчетном периоде, в разрезе мероприятий.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программных мероприятий, сроки их реализации, информация о необходимых ресурсах приведены в следующей таблице: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shd w:val="clear" w:color="auto" w:fill="FFFFFF"/>
        <w:spacing w:lineRule="exact" w:line="317"/>
        <w:ind w:right="24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>
      <w:pPr>
        <w:pStyle w:val="Normal"/>
        <w:shd w:val="clear" w:color="auto" w:fill="FFFFFF"/>
        <w:spacing w:lineRule="exact" w:line="317" w:before="0" w:after="0"/>
        <w:rPr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РАЗДЕЛ I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Мероприятия по переселению граждан из аварийного жилищного фонда на территории Советского сельского поселения Калачевского муниципального района Волгоградской области </w:t>
      </w:r>
    </w:p>
    <w:tbl>
      <w:tblPr>
        <w:tblW w:w="127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42"/>
        <w:gridCol w:w="3005"/>
        <w:gridCol w:w="1853"/>
        <w:gridCol w:w="1601"/>
        <w:gridCol w:w="1442"/>
        <w:gridCol w:w="1440"/>
        <w:gridCol w:w="1436"/>
        <w:gridCol w:w="1432"/>
      </w:tblGrid>
      <w:tr>
        <w:trPr/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финансовых средств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 местного бюджета и ожидаемые конечные результаты</w:t>
            </w:r>
          </w:p>
        </w:tc>
      </w:tr>
      <w:tr>
        <w:trPr/>
        <w:tc>
          <w:tcPr>
            <w:tcW w:w="5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 год</w:t>
            </w:r>
          </w:p>
        </w:tc>
      </w:tr>
      <w:tr>
        <w:trPr/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>
                <w:b/>
                <w:b/>
                <w:color w:val="000000"/>
                <w:spacing w:val="-12"/>
              </w:rPr>
            </w:pPr>
            <w:r>
              <w:rPr>
                <w:rFonts w:ascii="Liberation Serif" w:hAnsi="Liberation Serif"/>
                <w:color w:val="000000"/>
              </w:rPr>
              <w:t>Переселение граждан проживающих в аварийном жилищном фонде в благоустроенные жилые помещения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14467,5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4467,5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10000,0</w:t>
            </w:r>
          </w:p>
        </w:tc>
      </w:tr>
      <w:tr>
        <w:trPr/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>
                <w:b/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14467,5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4467,5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10000,0</w:t>
            </w:r>
          </w:p>
        </w:tc>
      </w:tr>
    </w:tbl>
    <w:p>
      <w:pPr>
        <w:pStyle w:val="Normal"/>
        <w:spacing w:lineRule="auto" w:line="204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0"/>
        <w:spacing w:beforeAutospacing="0" w:before="280" w:afterAutospacing="0" w:after="0"/>
        <w:jc w:val="both"/>
        <w:rPr>
          <w:spacing w:val="-8"/>
        </w:rPr>
      </w:pPr>
      <w:r>
        <w:rPr>
          <w:spacing w:val="-8"/>
        </w:rPr>
        <w:t>2. Все мероприятия, запланированные на 2024 год, реализованы в полной мере.</w:t>
      </w:r>
    </w:p>
    <w:p>
      <w:pPr>
        <w:pStyle w:val="Normal"/>
        <w:spacing w:lineRule="auto" w:line="204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04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04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28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28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8192"/>
        </w:sectPr>
        <w:pStyle w:val="ConsPlusNormal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/>
        <w:t xml:space="preserve">          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</w:t>
      </w:r>
    </w:p>
    <w:p>
      <w:pPr>
        <w:pStyle w:val="Consplusnormal0"/>
        <w:spacing w:beforeAutospacing="0" w:before="280" w:afterAutospacing="0" w:after="0"/>
        <w:ind w:firstLine="567"/>
        <w:jc w:val="both"/>
        <w:rPr>
          <w:b/>
          <w:b/>
          <w:color w:val="000000"/>
          <w:spacing w:val="-12"/>
        </w:rPr>
      </w:pPr>
      <w:r>
        <w:rPr>
          <w:b/>
          <w:color w:val="000000"/>
          <w:spacing w:val="-12"/>
        </w:rPr>
      </w:r>
    </w:p>
    <w:p>
      <w:pPr>
        <w:pStyle w:val="Normal"/>
        <w:ind w:firstLine="72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b/>
          <w:sz w:val="28"/>
          <w:szCs w:val="28"/>
        </w:rPr>
        <w:t>. Меры по реализации программы.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течение 2024 года в муниципальную программу вносились изменения два раза.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sz w:val="28"/>
          <w:szCs w:val="28"/>
        </w:rPr>
        <w:t>. Оценка эффективности реализации программы.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Для оценки эффективности реализации Программы используются целевые показатели результативности, которые отражают выполнение мероприятий по задачам Программы (приложения № 1,2 ,3).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Оценка эффективности реализации Программы производится путем сопоставления ожидаемых и фактически достигнутых значений целевых показателей, содержащихся в паспорте.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реализацию программы в 2024 году денежные средства были выделены из местного бюджета в сумме 4467,5 тыс. рублей.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мероприятия программы на 2024 год реализованы  в полном объеме.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Эффективность реализации Программы в 2024 году составляет  100,0 %.</w:t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ind w:firstLine="72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</w:t>
      </w:r>
    </w:p>
    <w:p>
      <w:pPr>
        <w:pStyle w:val="ConsPlusNormal"/>
        <w:widowControl/>
        <w:numPr>
          <w:ilvl w:val="0"/>
          <w:numId w:val="0"/>
        </w:numPr>
        <w:ind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/>
        <w:numPr>
          <w:ilvl w:val="0"/>
          <w:numId w:val="0"/>
        </w:numPr>
        <w:ind w:hanging="0"/>
        <w:jc w:val="right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Приложение № 2</w:t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>
      <w:pPr>
        <w:pStyle w:val="Normal"/>
        <w:spacing w:lineRule="auto" w:line="228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 реализации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</w:rPr>
        <w:t>муниципальной  программы 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2022-2026 годы  за 2024 год</w:t>
      </w:r>
    </w:p>
    <w:p>
      <w:pPr>
        <w:pStyle w:val="Normal"/>
        <w:spacing w:lineRule="auto" w:line="228" w:before="0" w:after="0"/>
        <w:jc w:val="right"/>
        <w:rPr>
          <w:rFonts w:ascii="Times New Roman" w:hAnsi="Times New Roman" w:cs="Times New Roman"/>
          <w:b/>
          <w:b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(тыс. рублей)</w:t>
      </w:r>
    </w:p>
    <w:tbl>
      <w:tblPr>
        <w:tblW w:w="14600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62"/>
        <w:gridCol w:w="1456"/>
        <w:gridCol w:w="661"/>
        <w:gridCol w:w="662"/>
        <w:gridCol w:w="663"/>
        <w:gridCol w:w="798"/>
        <w:gridCol w:w="663"/>
        <w:gridCol w:w="669"/>
        <w:gridCol w:w="6"/>
        <w:gridCol w:w="655"/>
        <w:gridCol w:w="663"/>
        <w:gridCol w:w="663"/>
        <w:gridCol w:w="680"/>
        <w:gridCol w:w="654"/>
        <w:gridCol w:w="666"/>
        <w:gridCol w:w="10"/>
        <w:gridCol w:w="659"/>
        <w:gridCol w:w="657"/>
        <w:gridCol w:w="795"/>
        <w:gridCol w:w="663"/>
        <w:gridCol w:w="720"/>
        <w:gridCol w:w="479"/>
        <w:gridCol w:w="14"/>
        <w:gridCol w:w="778"/>
      </w:tblGrid>
      <w:tr>
        <w:trPr>
          <w:trHeight w:val="580" w:hRule="atLeast"/>
          <w:cantSplit w:val="true"/>
        </w:trPr>
        <w:tc>
          <w:tcPr>
            <w:tcW w:w="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extDirection w:val="btLr"/>
            <w:vAlign w:val="cente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1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extDirection w:val="btLr"/>
          </w:tcPr>
          <w:p>
            <w:pPr>
              <w:pStyle w:val="ConsPlus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  <w:br/>
              <w:t>мероприятия</w:t>
            </w:r>
          </w:p>
        </w:tc>
        <w:tc>
          <w:tcPr>
            <w:tcW w:w="41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 ассигнований         </w:t>
              <w:br/>
              <w:t xml:space="preserve">в соответствии с постановлением   </w:t>
              <w:br/>
              <w:t>Администрации Советского сельского поселения</w:t>
              <w:br/>
              <w:t>об утверждении Программы</w:t>
            </w:r>
          </w:p>
        </w:tc>
        <w:tc>
          <w:tcPr>
            <w:tcW w:w="39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Уточненный план ассигнований    </w:t>
              <w:br/>
              <w:t>на _2024_ год</w:t>
            </w:r>
          </w:p>
        </w:tc>
        <w:tc>
          <w:tcPr>
            <w:tcW w:w="39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Исполнено (кассовые расходы)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Объемы     </w:t>
              <w:br/>
              <w:t>неосвоенных</w:t>
              <w:br/>
              <w:t xml:space="preserve">средств и  </w:t>
              <w:br/>
              <w:t xml:space="preserve">причины их </w:t>
              <w:br/>
              <w:t xml:space="preserve">неосвоения </w:t>
              <w:br/>
              <w:t xml:space="preserve">(по источ- </w:t>
              <w:br/>
              <w:t xml:space="preserve">никам      </w:t>
              <w:br/>
              <w:t xml:space="preserve">финансиро- </w:t>
              <w:br/>
              <w:t>вания)**</w:t>
            </w:r>
          </w:p>
        </w:tc>
      </w:tr>
      <w:tr>
        <w:trPr>
          <w:trHeight w:val="580" w:hRule="atLeast"/>
          <w:cantSplit w:val="true"/>
        </w:trPr>
        <w:tc>
          <w:tcPr>
            <w:tcW w:w="26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5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феде-  </w:t>
              <w:br/>
              <w:t>ральный</w:t>
              <w:br/>
              <w:t xml:space="preserve">бюджет </w:t>
              <w:br/>
              <w:t>&lt;*&gt;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обла- </w:t>
              <w:br/>
              <w:t xml:space="preserve">стной </w:t>
              <w:br/>
              <w:t>бюджет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мун. района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сельского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поселения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вне-</w:t>
            </w:r>
          </w:p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бюд-</w:t>
              <w:br/>
              <w:t xml:space="preserve">жетные </w:t>
              <w:br/>
              <w:t xml:space="preserve">источ </w:t>
              <w:br/>
              <w:t>ники</w:t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феде-  </w:t>
              <w:br/>
              <w:t>ральный</w:t>
              <w:br/>
              <w:t xml:space="preserve">бюджет </w:t>
              <w:br/>
              <w:t>&lt;*&gt;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обла- </w:t>
              <w:br/>
              <w:t xml:space="preserve">стной </w:t>
              <w:br/>
              <w:t>бюджет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района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бюджс.</w:t>
            </w:r>
          </w:p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</w:t>
              <w:br/>
              <w:t xml:space="preserve">жетные </w:t>
              <w:br/>
              <w:t xml:space="preserve">источ- </w:t>
              <w:br/>
              <w:t>ники</w:t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феде-  </w:t>
              <w:br/>
              <w:t>ральный</w:t>
              <w:br/>
              <w:t xml:space="preserve">бюджет </w:t>
              <w:br/>
              <w:t>&lt;*&gt;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обла- </w:t>
              <w:br/>
              <w:t xml:space="preserve">стной </w:t>
              <w:br/>
              <w:t>бюджет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мун. района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</w:t>
            </w:r>
          </w:p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</w:t>
              <w:br/>
              <w:t xml:space="preserve">жетные </w:t>
              <w:br/>
              <w:t xml:space="preserve">источ </w:t>
              <w:br/>
              <w:t>ники</w:t>
            </w:r>
          </w:p>
        </w:tc>
        <w:tc>
          <w:tcPr>
            <w:tcW w:w="79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32" w:hRule="atLeast"/>
          <w:cantSplit w:val="true"/>
        </w:trPr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>
        <w:trPr>
          <w:trHeight w:val="347" w:hRule="atLeast"/>
          <w:cantSplit w:val="true"/>
        </w:trPr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color w:val="000000"/>
                <w:spacing w:val="-12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 xml:space="preserve">Всего по    </w:t>
              <w:br/>
              <w:t>Программе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4467,5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4467,5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4467,5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4467,5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4467,5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4467,5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</w:tr>
      <w:tr>
        <w:trPr>
          <w:trHeight w:val="347" w:hRule="atLeast"/>
          <w:cantSplit w:val="true"/>
        </w:trPr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color w:val="000000"/>
                <w:spacing w:val="-12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кадастровых работ – подготовка межевого плана на земельный участок, расположенный по адресу п.Волгодонской ул Октябрьская д.10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6,0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6,0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6,0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6,0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6,0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6,0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</w:tr>
      <w:tr>
        <w:trPr>
          <w:trHeight w:val="347" w:hRule="atLeast"/>
          <w:cantSplit w:val="true"/>
        </w:trPr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pacing w:val="-12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об оценке выкупной стоимости квартир расположенных по адресу: Волгоградская область, Калачевский район, п. Волгодонской ул. Октябрьская д.10.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20,0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20,0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20,0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20,0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20,0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</w:tr>
      <w:tr>
        <w:trPr>
          <w:trHeight w:val="347" w:hRule="atLeast"/>
          <w:cantSplit w:val="true"/>
        </w:trPr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pacing w:val="-12"/>
                <w:sz w:val="24"/>
                <w:szCs w:val="24"/>
              </w:rPr>
              <w:t>3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за жилое помещение в доме №10, ул. Октябрьская, п. Волгодонской, в связи с признанием его аварийным и подлежащим сносу.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3611,4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3611,4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3611,4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3611,4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3611,4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3611,4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>
          <w:trHeight w:val="347" w:hRule="atLeast"/>
          <w:cantSplit w:val="true"/>
        </w:trPr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pacing w:val="-12"/>
                <w:sz w:val="24"/>
                <w:szCs w:val="24"/>
              </w:rPr>
              <w:t>4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жилого помещения (квартиры) в муниципальную собственность (для переселения граждан из аварийного жилищного фонда)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830,0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830,0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830,0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830,0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830,0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830,0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Приложение № 3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Оценка эффективности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муниципальной программы 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2022-2026 годы  за 2024  год</w:t>
      </w:r>
    </w:p>
    <w:p>
      <w:pPr>
        <w:pStyle w:val="Normal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Оценка эффективности реализации муниципальной программы 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2022-2026 годы  за 2024  год (далее – Программа) произведена путем сравнения фактически достигнутых показателей за 2024 год с утвержденными на год значениями целевых индикаторов.</w:t>
      </w:r>
    </w:p>
    <w:p>
      <w:pPr>
        <w:pStyle w:val="Normal"/>
        <w:shd w:val="clear" w:color="auto" w:fill="FFFFFF"/>
        <w:tabs>
          <w:tab w:val="clear" w:pos="708"/>
          <w:tab w:val="left" w:pos="898" w:leader="none"/>
        </w:tabs>
        <w:spacing w:lineRule="atLeast" w:line="336"/>
        <w:ind w:left="1397" w:hanging="139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4"/>
        <w:gridCol w:w="1210"/>
        <w:gridCol w:w="1111"/>
        <w:gridCol w:w="1110"/>
        <w:gridCol w:w="1291"/>
        <w:gridCol w:w="1254"/>
        <w:gridCol w:w="1108"/>
        <w:gridCol w:w="1"/>
        <w:gridCol w:w="1111"/>
        <w:gridCol w:w="1"/>
        <w:gridCol w:w="958"/>
      </w:tblGrid>
      <w:tr>
        <w:trPr>
          <w:trHeight w:val="690" w:hRule="atLeast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п/п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программы, сроки реализации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Период выполнения и показателей эффективности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Качественная оценка выполнения показателей эффективности</w:t>
            </w:r>
          </w:p>
        </w:tc>
        <w:tc>
          <w:tcPr>
            <w:tcW w:w="3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использования финансовых средств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эффективности реализации программы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Примечание</w:t>
            </w:r>
          </w:p>
        </w:tc>
      </w:tr>
      <w:tr>
        <w:trPr>
          <w:trHeight w:val="690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1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финансирования, запланированный программой на соответствующий период (тыс. руб.)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Фактически освоенный объем финансирования  программы за соответствующий период (тыс. руб.)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Уровень использования финансовых средств (%)</w:t>
            </w:r>
          </w:p>
        </w:tc>
        <w:tc>
          <w:tcPr>
            <w:tcW w:w="111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9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 утверждении отчета об исполнении муниципальной программы 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 год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Выполнены все показатели эффективности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4467,5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4467,5</w:t>
            </w:r>
            <w:bookmarkStart w:id="0" w:name="_GoBack"/>
            <w:bookmarkEnd w:id="0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 баллов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( эффективная)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</w:tbl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Показатель эффективности составил 100 процентов -  Программа реализована в полном объеме.</w:t>
      </w:r>
    </w:p>
    <w:p>
      <w:pPr>
        <w:pStyle w:val="Consplusnormal0"/>
        <w:spacing w:beforeAutospacing="0" w:before="280" w:afterAutospacing="0" w:after="0"/>
        <w:ind w:firstLine="567"/>
        <w:jc w:val="both"/>
        <w:rPr>
          <w:spacing w:val="-8"/>
        </w:rPr>
      </w:pPr>
      <w:r>
        <w:rPr>
          <w:spacing w:val="-8"/>
        </w:rPr>
      </w:r>
    </w:p>
    <w:p>
      <w:pPr>
        <w:pStyle w:val="Normal"/>
        <w:tabs>
          <w:tab w:val="clear" w:pos="708"/>
          <w:tab w:val="left" w:pos="1485" w:leader="none"/>
        </w:tabs>
        <w:spacing w:before="0" w:after="200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286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eastAsiaTheme="minorEastAsia" w:cs=""/>
      <w:color w:val="auto"/>
      <w:kern w:val="0"/>
      <w:sz w:val="22"/>
      <w:szCs w:val="22"/>
      <w:lang w:eastAsia="ru-RU" w:val="ru-RU" w:bidi="ar-SA"/>
    </w:rPr>
  </w:style>
  <w:style w:type="paragraph" w:styleId="5">
    <w:name w:val="Heading 5"/>
    <w:basedOn w:val="Normal"/>
    <w:next w:val="Normal"/>
    <w:link w:val="50"/>
    <w:semiHidden/>
    <w:unhideWhenUsed/>
    <w:qFormat/>
    <w:rsid w:val="00f3286c"/>
    <w:pPr>
      <w:spacing w:lineRule="auto" w:line="240"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f3286c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f3286c"/>
    <w:rPr>
      <w:rFonts w:eastAsia="" w:eastAsiaTheme="minorEastAsia"/>
      <w:lang w:eastAsia="ru-RU"/>
    </w:rPr>
  </w:style>
  <w:style w:type="character" w:styleId="1" w:customStyle="1">
    <w:name w:val="Верхний колонтитул Знак1"/>
    <w:basedOn w:val="DefaultParagraphFont"/>
    <w:link w:val="a4"/>
    <w:semiHidden/>
    <w:qFormat/>
    <w:locked/>
    <w:rsid w:val="00f3286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c2c91"/>
    <w:rPr>
      <w:rFonts w:eastAsia="" w:eastAsiaTheme="minorEastAsia"/>
      <w:lang w:eastAsia="ru-RU"/>
    </w:rPr>
  </w:style>
  <w:style w:type="character" w:styleId="Style15" w:customStyle="1">
    <w:name w:val="Текст выноски Знак"/>
    <w:basedOn w:val="DefaultParagraphFont"/>
    <w:link w:val="ae"/>
    <w:uiPriority w:val="99"/>
    <w:semiHidden/>
    <w:qFormat/>
    <w:rsid w:val="00511adb"/>
    <w:rPr>
      <w:rFonts w:ascii="Tahoma" w:hAnsi="Tahoma" w:eastAsia="" w:cs="Tahoma" w:eastAsiaTheme="minorEastAsia"/>
      <w:sz w:val="16"/>
      <w:szCs w:val="16"/>
      <w:lang w:eastAsia="ru-RU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1"/>
    <w:semiHidden/>
    <w:unhideWhenUsed/>
    <w:rsid w:val="00f3286c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ConsPlusNormal" w:customStyle="1">
    <w:name w:val="ConsPlusNormal"/>
    <w:qFormat/>
    <w:rsid w:val="001f6808"/>
    <w:pPr>
      <w:widowControl w:val="false"/>
      <w:suppressAutoHyphens w:val="tru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rmal0" w:customStyle="1">
    <w:name w:val="consplusnormal0"/>
    <w:basedOn w:val="Normal"/>
    <w:qFormat/>
    <w:rsid w:val="00fd7d3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3" w:customStyle="1">
    <w:name w:val="Содержимое таблицы"/>
    <w:basedOn w:val="Normal"/>
    <w:qFormat/>
    <w:rsid w:val="008c2c91"/>
    <w:pPr>
      <w:suppressLineNumbers/>
      <w:spacing w:lineRule="auto" w:line="240" w:before="0" w:after="0"/>
    </w:pPr>
    <w:rPr>
      <w:rFonts w:ascii="Times New Roman" w:hAnsi="Times New Roman" w:eastAsia="Calibri" w:cs="Times New Roman"/>
      <w:sz w:val="24"/>
      <w:szCs w:val="24"/>
      <w:lang w:eastAsia="zh-CN"/>
    </w:rPr>
  </w:style>
  <w:style w:type="paragraph" w:styleId="Style24">
    <w:name w:val="Footer"/>
    <w:basedOn w:val="Normal"/>
    <w:uiPriority w:val="99"/>
    <w:semiHidden/>
    <w:unhideWhenUsed/>
    <w:rsid w:val="008c2c9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f"/>
    <w:uiPriority w:val="99"/>
    <w:semiHidden/>
    <w:unhideWhenUsed/>
    <w:qFormat/>
    <w:rsid w:val="00511ad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Application>LibreOffice/6.2.4.2$Windows_x86 LibreOffice_project/2412653d852ce75f65fbfa83fb7e7b669a126d64</Application>
  <Pages>9</Pages>
  <Words>870</Words>
  <Characters>5891</Characters>
  <CharactersWithSpaces>8040</CharactersWithSpaces>
  <Paragraphs>212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2021-02-09T12:05:00Z</dcterms:created>
  <dc:creator>Cvetlana</dc:creator>
  <dc:description/>
  <dc:language>ru-RU</dc:language>
  <cp:lastModifiedBy/>
  <cp:lastPrinted>2025-04-03T09:09:08Z</cp:lastPrinted>
  <dcterms:modified xsi:type="dcterms:W3CDTF">2025-04-03T09:10:01Z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