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b/>
          <w:b/>
          <w:i/>
          <w:i/>
          <w:color w:val="C9211E"/>
          <w:sz w:val="28"/>
          <w:szCs w:val="28"/>
        </w:rPr>
      </w:pPr>
      <w:r>
        <w:rPr>
          <w:rFonts w:ascii="Times New Roman" w:hAnsi="Times New Roman"/>
          <w:b/>
          <w:i/>
          <w:color w:val="C9211E"/>
          <w:sz w:val="28"/>
          <w:szCs w:val="28"/>
        </w:rPr>
        <w:t>проект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СОВЕТСКОГО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 СЕЛЬСКОГО ПОСЕЛЕНИЯ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МУНИЦИПАЛЬНОГО РАЙОНА</w:t>
      </w:r>
    </w:p>
    <w:p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hanging="0"/>
        <w:jc w:val="center"/>
        <w:rPr>
          <w:rFonts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ПОСТАНОВЛЕНИЕ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 xml:space="preserve">___»__________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2023 г.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использования бюджетных ассигнований резервного фонда администрации </w:t>
      </w:r>
      <w:r>
        <w:rPr>
          <w:rFonts w:ascii="Times New Roman" w:hAnsi="Times New Roman"/>
          <w:b/>
          <w:bCs/>
          <w:sz w:val="28"/>
          <w:szCs w:val="28"/>
        </w:rPr>
        <w:t>Советского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b/>
          <w:bCs/>
          <w:sz w:val="28"/>
          <w:szCs w:val="28"/>
        </w:rPr>
        <w:t>алачевского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Волгоградской области</w:t>
      </w:r>
    </w:p>
    <w:p>
      <w:pPr>
        <w:pStyle w:val="BodyTextIndent3"/>
        <w:spacing w:before="0" w:after="0"/>
        <w:ind w:lef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" w:tgtFrame="consultantplus://offline/main?base=LAW;n=112715;fld=134;dst=1447">
        <w:r>
          <w:rPr>
            <w:rStyle w:val="ListLabel1"/>
            <w:rFonts w:ascii="Times New Roman" w:hAnsi="Times New Roman"/>
            <w:sz w:val="28"/>
            <w:szCs w:val="28"/>
          </w:rPr>
          <w:t>статьей 81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прилагаемый порядок 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sz w:val="28"/>
          <w:szCs w:val="28"/>
        </w:rPr>
        <w:t>алачевского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cs="Times New Roman" w:ascii="Times New Roman" w:hAnsi="Times New Roman"/>
          <w:b w:val="false"/>
          <w:sz w:val="28"/>
          <w:szCs w:val="28"/>
        </w:rPr>
        <w:t>Советского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сельского поселения </w:t>
      </w:r>
      <w:r>
        <w:rPr>
          <w:rFonts w:cs="Times New Roman" w:ascii="Times New Roman" w:hAnsi="Times New Roman"/>
          <w:b w:val="false"/>
          <w:sz w:val="28"/>
          <w:szCs w:val="28"/>
        </w:rPr>
        <w:t>Калачевского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муниципального района Волгоградской области от </w:t>
      </w:r>
      <w:r>
        <w:rPr>
          <w:rFonts w:cs="Times New Roman" w:ascii="Times New Roman" w:hAnsi="Times New Roman"/>
          <w:b w:val="false"/>
          <w:sz w:val="28"/>
          <w:szCs w:val="28"/>
        </w:rPr>
        <w:t>09.06.2021г.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№ </w:t>
      </w:r>
      <w:r>
        <w:rPr>
          <w:rFonts w:cs="Times New Roman" w:ascii="Times New Roman" w:hAnsi="Times New Roman"/>
          <w:b w:val="false"/>
          <w:sz w:val="28"/>
          <w:szCs w:val="28"/>
        </w:rPr>
        <w:t>176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b w:val="false"/>
          <w:bCs w:val="false"/>
          <w:color w:val="000000"/>
          <w:sz w:val="28"/>
          <w:szCs w:val="28"/>
        </w:rPr>
        <w:t>Об утверждении Положения о порядке расходования средств резервного фонда администрации Советского сельского поселения Калачевского  муниципального района Волгоградской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ConsPlusNormal1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 в установленном порядке.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Советского</w:t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А.Ф.Пак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/>
          <w:strike/>
          <w:color w:val="70AD47"/>
          <w:sz w:val="28"/>
          <w:szCs w:val="28"/>
        </w:rPr>
      </w:pPr>
      <w:r>
        <w:rPr>
          <w:rFonts w:ascii="Times New Roman" w:hAnsi="Times New Roman"/>
          <w:strike/>
          <w:color w:val="70AD47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sz w:val="28"/>
          <w:szCs w:val="28"/>
        </w:rPr>
        <w:t xml:space="preserve">алачевского </w:t>
      </w: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left="524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 20__ №_____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sz w:val="28"/>
          <w:szCs w:val="28"/>
        </w:rPr>
        <w:t>алачевского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 Резервный фонд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- резервный фонд) формируется в составе бюджета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Советского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</w:t>
      </w:r>
      <w:r>
        <w:rPr>
          <w:rFonts w:ascii="Times New Roman" w:hAnsi="Times New Roman"/>
          <w:sz w:val="28"/>
          <w:szCs w:val="28"/>
        </w:rPr>
        <w:t>алачевского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1.2. Размер резервного фонда определяется при формировании бюджета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и устанавливается решением о бюджете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на соответствующий финансовый год и плановый период.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Расходы резервного фонда предусматриваются в бюджете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отдельной строкой.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Цели использования бюджетных ассигнований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 w:val="24"/>
          <w:szCs w:val="24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резервного фонда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2.1. Средства резервного фонда направляются на финансовое обеспечение:</w:t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2.1.1) непредвиденных расходов, в том числе на: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в) развертывание и содержание в течение необходимого срока</w:t>
        <w:br/>
        <w:t>(но не более шести месяцев) пунктов временного размещения и питания для граждан;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г)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е) оказание гражданам финансовой помощи в связи с утратой ими имущества первой необходимости.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предметы мебели для приема пищи - стол и стул (табуретка);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предметы мебели для сна - кровать (диван);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предметы средств информирования граждан - телевизор (радио);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ж) выплату единовременного пособия: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 в равных долях каждому члену семьи;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 Выделение бюджетных ассигнований из резервного фонда на финансовое обеспечение мероприятий, предусмотренных подпунктом "г" подпункта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2.1.1 пункта 2.1 настоящего Порядка,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осуществляется при одновременном выполнении следующих условий: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2.3. Выделение бюджетных ассигнований из резервного фонда на финансовое обеспечение мероприятий, предусмотренных подпунктом "е" подпункта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2.1.1 пункта 2.1 настоящего Порядка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осуществляется при одновременном выполнении следующих условий: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Normal"/>
        <w:spacing w:lineRule="auto" w:line="240" w:before="0" w:after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>
      <w:pPr>
        <w:pStyle w:val="Normal"/>
        <w:spacing w:lineRule="auto" w:line="240" w:before="0" w:after="0"/>
        <w:rPr>
          <w:rFonts w:eastAsia="Times New Roman"/>
          <w:spacing w:val="-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6"/>
          <w:sz w:val="28"/>
          <w:szCs w:val="28"/>
          <w:lang w:eastAsia="ru-RU"/>
        </w:rPr>
        <w:t>2.4.</w:t>
      </w:r>
      <w:r>
        <w:rPr>
          <w:rFonts w:eastAsia="Times New Roman" w:ascii="Times New Roman" w:hAnsi="Times New Roman"/>
          <w:spacing w:val="-6"/>
          <w:sz w:val="28"/>
          <w:szCs w:val="28"/>
          <w:lang w:val="en-US" w:eastAsia="ru-RU"/>
        </w:rPr>
        <w:t> </w:t>
      </w:r>
      <w:r>
        <w:rPr>
          <w:rFonts w:eastAsia="Times New Roman" w:ascii="Times New Roman" w:hAnsi="Times New Roman"/>
          <w:spacing w:val="-6"/>
          <w:sz w:val="28"/>
          <w:szCs w:val="28"/>
          <w:lang w:eastAsia="ru-RU"/>
        </w:rPr>
        <w:t>Критериями утраты имущества первой необходимости являются: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а) частичная утрата имущества первой необходимости – приведение</w:t>
        <w:br/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б) полная утрата имущества первой необходимости – приведение</w:t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2.5. Выделение бюджетных ассигнований из резервного фонда</w:t>
        <w:br/>
        <w:t xml:space="preserve"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осуществляющих финансовое обеспечение указанных мероприятий, недостаточно.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2.6. Использование бюджетных ассигнований резервного фонда</w:t>
        <w:br/>
        <w:t>на цели, не предусмотренные настоящим Порядком, не допускается.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Порядок принятия решения о выделении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1"/>
        <w:rPr>
          <w:sz w:val="24"/>
          <w:szCs w:val="24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бюджетных ассигнований из резервного фонда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Решение о выделении бюджетных ассигнований из резервного фонда принимается администрацией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в форме постановления о выделении бюджетных ассигнований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bookmarkStart w:id="0" w:name="Par7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3.2. К проекту постановления администрации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обосновании должны быть указаны следующие сведения: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размер запрашиваемых средств, его обоснование, включая сметно-финансовые расчеты;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цели расходования средств;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обоснование недостаточности средств, находящихся в распоряжении</w:t>
      </w:r>
      <w:r>
        <w:rPr>
          <w:rFonts w:eastAsia="Times New Roman" w:ascii="Times New Roman" w:hAnsi="Times New Roman"/>
          <w:strike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области;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3.3 Ходатайство о выделении бюджетных ассигнований резервного фонда направляется главе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none"/>
        </w:rPr>
        <w:t>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pacing w:val="-4"/>
          <w:sz w:val="28"/>
          <w:szCs w:val="28"/>
          <w:lang w:eastAsia="ru-RU"/>
        </w:rPr>
        <w:t xml:space="preserve">3.4. Глава </w:t>
      </w:r>
      <w:r>
        <w:rPr>
          <w:rFonts w:eastAsia="Times New Roman" w:ascii="Times New Roman" w:hAnsi="Times New Roman"/>
          <w:spacing w:val="-4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направляет поступившие документы на рассмотрение в администрацию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результатам рассмотрения представленного ходатайства</w:t>
        <w:br/>
        <w:t xml:space="preserve">с приложенными к нему документами администрация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15 рабочих дней со дня поступления документов в администрацию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Советского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от главы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none"/>
        </w:rPr>
        <w:t>.</w:t>
      </w:r>
      <w:r>
        <w:rPr>
          <w:rFonts w:ascii="Times New Roman" w:hAnsi="Times New Roman"/>
          <w:i/>
          <w:color w:val="FF0000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случае положительного заключения администрации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Советского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готовит проект постановления администрации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 выделении бюджетных ассигнований 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случае отрицательного заключения администрация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</w:t>
      </w:r>
      <w:r>
        <w:rPr>
          <w:rFonts w:eastAsia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ципального района Волгоградской области готовит проект письма главы </w:t>
      </w:r>
      <w:r>
        <w:rPr>
          <w:rFonts w:eastAsia="Times New Roman" w:ascii="Times New Roman" w:hAnsi="Times New Roman"/>
          <w:i w:val="false"/>
          <w:iCs w:val="false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об отклонении ходатайства с мотивированным обоснованием отказа в выделении бюджетных ассигнований 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Письмо направляется главой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лицу, обратившемуся с ходатайством.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несоответствие целей, на которые запрашиваются бюджетные ассигнования резервного фонда, полномочиям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Советского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мероприятиям, предусмотренным в пункте 2.1 настоящего Порядка;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отсутствие обоснования и документов, указанных в </w:t>
      </w:r>
      <w:hyperlink w:anchor="Par7" w:tgtFrame="#Par7">
        <w:r>
          <w:rPr>
            <w:rStyle w:val="ListLabel2"/>
            <w:rFonts w:eastAsia="Times New Roman" w:ascii="Times New Roman" w:hAnsi="Times New Roman"/>
            <w:sz w:val="28"/>
            <w:szCs w:val="28"/>
            <w:lang w:eastAsia="ru-RU"/>
          </w:rPr>
          <w:t>пункте 3.2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Контроль за использованием бюджетных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ассигнований резервного фонда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4.1. Контроль за использованием бюджетных ассигнований резервного фонда осуществляется администрацией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4.2. Резервный фонд исполняется в течение календарного года. 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4.3. Главные распорядители, распорядители и получатели средств бюджета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Советского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которым выделяются бюджетные ассигнования резервного фонда, представляют в администрацию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алачевского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района Волгоградской области отчет о целевом использовании бюджетных ассигнований резервного фонда.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алачевского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none"/>
        </w:rPr>
        <w:t>.</w:t>
      </w:r>
    </w:p>
    <w:sectPr>
      <w:headerReference w:type="default" r:id="rId3"/>
      <w:type w:val="nextPage"/>
      <w:pgSz w:w="11906" w:h="16838"/>
      <w:pgMar w:left="1559" w:right="1276" w:header="709" w:top="1134" w:footer="0" w:bottom="10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3619500</wp:posOffset>
              </wp:positionH>
              <wp:positionV relativeFrom="paragraph">
                <wp:posOffset>45720</wp:posOffset>
              </wp:positionV>
              <wp:extent cx="528320" cy="1860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1.6pt;height:14.65pt;mso-wrap-distance-left:0pt;mso-wrap-distance-right:0pt;mso-wrap-distance-top:0pt;mso-wrap-distance-bottom:0pt;margin-top:3.6pt;mso-position-vertical-relative:text;margin-left:285pt;mso-position-horizontal-relative:page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firstLine="709"/>
      <w:jc w:val="both"/>
    </w:pPr>
    <w:rPr>
      <w:rFonts w:eastAsia="Calibri" w:ascii="Calibri" w:hAnsi="Calibri" w:cs="Arial"/>
      <w:color w:val="auto"/>
      <w:kern w:val="0"/>
      <w:sz w:val="28"/>
      <w:szCs w:val="22"/>
      <w:lang w:eastAsia="en-US" w:val="ru-RU" w:bidi="ar-SA"/>
    </w:rPr>
  </w:style>
  <w:style w:type="paragraph" w:styleId="1">
    <w:name w:val="Heading 1"/>
    <w:basedOn w:val="Normal"/>
    <w:link w:val="1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6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2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4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basedOn w:val="DefaultParagraphFont"/>
    <w:link w:val="678"/>
    <w:uiPriority w:val="99"/>
    <w:qFormat/>
    <w:rPr/>
  </w:style>
  <w:style w:type="character" w:styleId="FooterChar">
    <w:name w:val="Footer Char"/>
    <w:basedOn w:val="DefaultParagraphFont"/>
    <w:link w:val="680"/>
    <w:uiPriority w:val="99"/>
    <w:qFormat/>
    <w:rPr/>
  </w:style>
  <w:style w:type="character" w:styleId="CaptionChar">
    <w:name w:val="Caption Char"/>
    <w:link w:val="680"/>
    <w:uiPriority w:val="99"/>
    <w:qFormat/>
    <w:rPr/>
  </w:style>
  <w:style w:type="character" w:styleId="FootnoteTextChar">
    <w:name w:val="Footnote Text Char"/>
    <w:link w:val="676"/>
    <w:uiPriority w:val="99"/>
    <w:qFormat/>
    <w:rPr>
      <w:sz w:val="18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5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674"/>
    <w:qFormat/>
    <w:rPr>
      <w:sz w:val="16"/>
      <w:szCs w:val="16"/>
      <w:lang w:val="ru-RU" w:eastAsia="ru-RU" w:bidi="ar-SA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Style7" w:customStyle="1">
    <w:name w:val="Текст сноски Знак"/>
    <w:link w:val="676"/>
    <w:semiHidden/>
    <w:qFormat/>
    <w:rPr>
      <w:rFonts w:eastAsia="Calibri"/>
      <w:lang w:eastAsia="en-US"/>
    </w:rPr>
  </w:style>
  <w:style w:type="character" w:styleId="ConsPlusNormal" w:customStyle="1">
    <w:name w:val="ConsPlusNormal Знак"/>
    <w:link w:val="683"/>
    <w:qFormat/>
    <w:rPr>
      <w:rFonts w:cs="Calibri"/>
      <w:sz w:val="22"/>
    </w:rPr>
  </w:style>
  <w:style w:type="character" w:styleId="Style8">
    <w:name w:val="Интернет-ссылка"/>
    <w:uiPriority w:val="99"/>
    <w:unhideWhenUsed/>
    <w:rPr>
      <w:color w:val="0000FF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eastAsia="Times New Roman"/>
      <w:sz w:val="24"/>
      <w:szCs w:val="24"/>
      <w:lang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8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Title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cs="Arial" w:eastAsia="NSimSun"/>
      <w:b/>
      <w:bCs/>
      <w:color w:val="auto"/>
      <w:kern w:val="0"/>
      <w:sz w:val="16"/>
      <w:szCs w:val="16"/>
      <w:lang w:eastAsia="en-US" w:val="ru-RU" w:bidi="ar-SA"/>
    </w:rPr>
  </w:style>
  <w:style w:type="paragraph" w:styleId="BodyTextIndent3">
    <w:name w:val="Body Text Indent 3"/>
    <w:basedOn w:val="Normal"/>
    <w:link w:val="675"/>
    <w:qFormat/>
    <w:pPr>
      <w:spacing w:lineRule="auto" w:line="240" w:before="0" w:after="120"/>
      <w:ind w:left="283" w:hanging="0"/>
      <w:jc w:val="left"/>
    </w:pPr>
    <w:rPr>
      <w:rFonts w:eastAsia="Times New Roman"/>
      <w:sz w:val="16"/>
      <w:szCs w:val="16"/>
      <w:lang w:eastAsia="ru-RU"/>
    </w:rPr>
  </w:style>
  <w:style w:type="paragraph" w:styleId="Style17">
    <w:name w:val="Footnote Text"/>
    <w:basedOn w:val="Normal"/>
    <w:link w:val="681"/>
    <w:semiHidden/>
    <w:pPr/>
    <w:rPr>
      <w:sz w:val="20"/>
      <w:szCs w:val="20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682"/>
    <w:qFormat/>
    <w:pPr>
      <w:widowControl w:val="false"/>
      <w:bidi w:val="0"/>
      <w:jc w:val="left"/>
    </w:pPr>
    <w:rPr>
      <w:rFonts w:cs="Calibri" w:ascii="Calibri" w:hAnsi="Calibri" w:eastAsia="NSimSun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firstLine="709"/>
      <w:contextualSpacing/>
    </w:pPr>
    <w:rPr/>
  </w:style>
  <w:style w:type="paragraph" w:styleId="NoSpacing">
    <w:name w:val="No Spacing"/>
    <w:uiPriority w:val="1"/>
    <w:qFormat/>
    <w:pPr>
      <w:widowControl w:val="false"/>
      <w:bidi w:val="0"/>
      <w:jc w:val="left"/>
    </w:pPr>
    <w:rPr>
      <w:rFonts w:ascii="Arial" w:hAnsi="Arial" w:cs="Arial" w:eastAsia="NSimSu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Calibri" w:hAnsi="Calibri" w:cs="Calibri" w:eastAsia="NSimSun"/>
      <w:b/>
      <w:color w:val="auto"/>
      <w:kern w:val="0"/>
      <w:sz w:val="22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C8C4-7B54-4DA4-9573-DFB32DF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6</Pages>
  <Words>1317</Words>
  <Characters>10805</Characters>
  <CharactersWithSpaces>12176</CharactersWithSpaces>
  <Paragraphs>85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2023-09-18T12:41:00Z</dcterms:created>
  <dc:creator>Roman</dc:creator>
  <dc:description/>
  <dc:language>ru-RU</dc:language>
  <cp:lastModifiedBy/>
  <dcterms:modified xsi:type="dcterms:W3CDTF">2023-09-22T11:27:07Z</dcterms:modified>
  <cp:revision>10</cp:revision>
  <dc:subject/>
  <dc:title>Модельный муниципальный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АВО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