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431155" cy="12065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30600" cy="115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7.2pt" to="428.9pt,8.05pt" ID="Line 2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« </w:t>
      </w:r>
      <w:r>
        <w:rPr>
          <w:rFonts w:eastAsia="" w:cs="Times New Roman" w:ascii="Times New Roman" w:hAnsi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03</w:t>
      </w:r>
      <w:r>
        <w:rPr>
          <w:rFonts w:cs="Times New Roman" w:ascii="Times New Roman" w:hAnsi="Times New Roman"/>
          <w:bCs/>
          <w:sz w:val="28"/>
          <w:szCs w:val="28"/>
        </w:rPr>
        <w:t xml:space="preserve">»  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марта </w:t>
      </w:r>
      <w:r>
        <w:rPr>
          <w:rFonts w:cs="Times New Roman" w:ascii="Times New Roman" w:hAnsi="Times New Roman"/>
          <w:bCs/>
          <w:sz w:val="28"/>
          <w:szCs w:val="28"/>
        </w:rPr>
        <w:t>202</w:t>
      </w:r>
      <w:r>
        <w:rPr>
          <w:rFonts w:eastAsia="" w:cs="Times New Roman" w:ascii="Times New Roman" w:hAnsi="Times New Roman" w:eastAsiaTheme="minorEastAsia"/>
          <w:bCs/>
          <w:sz w:val="28"/>
          <w:szCs w:val="28"/>
          <w:lang w:eastAsia="ru-RU"/>
        </w:rPr>
        <w:t>2</w:t>
      </w:r>
      <w:r>
        <w:rPr>
          <w:rFonts w:cs="Times New Roman" w:ascii="Times New Roman" w:hAnsi="Times New Roman"/>
          <w:bCs/>
          <w:sz w:val="28"/>
          <w:szCs w:val="28"/>
        </w:rPr>
        <w:t xml:space="preserve"> г.                          № 31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Об утверждении отчета об исполнении муниципальной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2020-2022 годы» за 202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год.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постановлением Администрации Советского сельского поселения от 02.12.2019г. №197 «Об утверждении муниципальной  программы «Повышение безопасности дорожного движения на территории Советского сельского поселения на 2020-2022 годы» , постановлением Администрации Советского сельского поселения от  27.01.2014г. №06-П «Об утверждении Порядка разработки, реализации и оценки эффективности муниципальных программ  Советского сельского поселения» </w:t>
      </w: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Утвердить годовой отчет о реализации муниципальной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2020-2022 годы», утвержденной постановлением Администрации Советского сельского поселения от 02.12.2019 года  №197 "Об утверждении муниципальной  программы «Повышение безопасности дорожного движения на территории Советского сельского поселения на 2020-2022 годы» за 202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  Постановление  подлежит  обнародованию в установленном порядке,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  А.Ф. Пак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к  Постановлению главы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b/>
          <w:b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 xml:space="preserve">от  « </w:t>
      </w:r>
      <w:r>
        <w:rPr>
          <w:rFonts w:eastAsia="" w:cs="Times New Roman" w:ascii="Times New Roman" w:hAnsi="Times New Roman"/>
          <w:b/>
          <w:color w:val="000000"/>
          <w:spacing w:val="-5"/>
          <w:kern w:val="0"/>
          <w:sz w:val="24"/>
          <w:szCs w:val="24"/>
          <w:lang w:val="ru-RU" w:eastAsia="ru-RU" w:bidi="ar-SA"/>
        </w:rPr>
        <w:t>03</w:t>
      </w: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 xml:space="preserve">  »  </w:t>
      </w:r>
      <w:r>
        <w:rPr>
          <w:rFonts w:eastAsia="" w:cs="Times New Roman" w:ascii="Times New Roman" w:hAnsi="Times New Roman"/>
          <w:b/>
          <w:color w:val="000000"/>
          <w:spacing w:val="-5"/>
          <w:kern w:val="0"/>
          <w:sz w:val="24"/>
          <w:szCs w:val="24"/>
          <w:lang w:val="ru-RU" w:eastAsia="ru-RU" w:bidi="ar-SA"/>
        </w:rPr>
        <w:t>03.</w:t>
      </w: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 xml:space="preserve">      202</w:t>
      </w:r>
      <w:r>
        <w:rPr>
          <w:rFonts w:eastAsia="" w:cs="Times New Roman" w:ascii="Times New Roman" w:hAnsi="Times New Roman"/>
          <w:b/>
          <w:color w:val="000000"/>
          <w:spacing w:val="-5"/>
          <w:sz w:val="24"/>
          <w:szCs w:val="24"/>
          <w:lang w:eastAsia="ru-RU"/>
        </w:rPr>
        <w:t>2</w:t>
      </w: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 xml:space="preserve"> года  №     31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«Повышение безопасности дорожного движения на территории Советского сельского поселения на 2020-2022 годы»  за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Основные результаты.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повышению безопасности дорожного движения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3006"/>
        <w:gridCol w:w="1854"/>
        <w:gridCol w:w="2033"/>
        <w:gridCol w:w="1600"/>
        <w:gridCol w:w="1442"/>
        <w:gridCol w:w="1437"/>
        <w:gridCol w:w="1434"/>
        <w:gridCol w:w="1439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eastAsia="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1021,1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350,0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ремонт и содержание сетей уличного освещения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технической документации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150,0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и установка дорожных знаков в населенных пунктах п.Волгодонской, п.Комсомольский, х.Степной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транспортного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360,00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120,00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120,00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и установка ограждений около образовательных учреждений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300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50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2287,10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870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547,1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870,00</w:t>
            </w:r>
          </w:p>
        </w:tc>
      </w:tr>
    </w:tbl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/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pStyle w:val="Consplusnormal0"/>
        <w:spacing w:beforeAutospacing="0" w:before="0" w:afterAutospacing="0" w:after="0"/>
        <w:rPr>
          <w:spacing w:val="-8"/>
        </w:rPr>
      </w:pPr>
      <w:r>
        <w:rPr>
          <w:spacing w:val="-8"/>
        </w:rPr>
        <w:t>2. Все мероприятия, запланированные на 202</w:t>
      </w:r>
      <w:r>
        <w:rPr>
          <w:rFonts w:eastAsia="Times New Roman" w:cs="Times New Roman"/>
          <w:spacing w:val="-8"/>
          <w:sz w:val="24"/>
          <w:szCs w:val="24"/>
          <w:lang w:eastAsia="ru-RU"/>
        </w:rPr>
        <w:t>1</w:t>
      </w:r>
      <w:r>
        <w:rPr>
          <w:spacing w:val="-8"/>
        </w:rPr>
        <w:t xml:space="preserve"> год, реализованы в полной мере.</w:t>
      </w:r>
    </w:p>
    <w:p>
      <w:pPr>
        <w:pStyle w:val="Consplusnormal0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2021 года в муниципальную программу вносились изменения один раз 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утверждена Постановлением «О результатах эффективности реализации в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году муниципальной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2020-2022 годы» от 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реализацию программы в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году денежные средства были выделены из местного бюджета в сумме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547,1</w:t>
      </w:r>
      <w:r>
        <w:rPr>
          <w:rFonts w:cs="Times New Roman" w:ascii="Times New Roman" w:hAnsi="Times New Roman"/>
          <w:sz w:val="24"/>
          <w:szCs w:val="24"/>
        </w:rPr>
        <w:t xml:space="preserve"> тыс. рублей.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Все мероприятия программы на 2021 год реализованы в полном объеме.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Эффективность реализации Программы в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году составляет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100</w:t>
      </w:r>
      <w:r>
        <w:rPr>
          <w:rFonts w:cs="Times New Roman" w:ascii="Times New Roman" w:hAnsi="Times New Roman"/>
          <w:sz w:val="24"/>
          <w:szCs w:val="24"/>
        </w:rPr>
        <w:t>,0 %.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ConsPlusNormal"/>
        <w:widowControl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pStyle w:val="Normal"/>
        <w:spacing w:lineRule="auto" w:line="228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реализации муниципальной 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на 2020-2022 годы»  за 202</w:t>
      </w:r>
      <w:r>
        <w:rPr>
          <w:rFonts w:eastAsia="" w:eastAsiaTheme="minorEastAsia"/>
          <w:b/>
          <w:sz w:val="24"/>
          <w:szCs w:val="24"/>
          <w:lang w:eastAsia="ru-RU"/>
        </w:rPr>
        <w:t>1</w:t>
      </w:r>
      <w:r>
        <w:rPr>
          <w:b/>
          <w:sz w:val="24"/>
          <w:szCs w:val="24"/>
        </w:rPr>
        <w:t xml:space="preserve"> год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(тыс. рублей)</w:t>
      </w:r>
    </w:p>
    <w:tbl>
      <w:tblPr>
        <w:tblW w:w="1530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61"/>
        <w:gridCol w:w="1456"/>
        <w:gridCol w:w="660"/>
        <w:gridCol w:w="660"/>
        <w:gridCol w:w="663"/>
        <w:gridCol w:w="799"/>
        <w:gridCol w:w="666"/>
        <w:gridCol w:w="666"/>
        <w:gridCol w:w="3"/>
        <w:gridCol w:w="660"/>
        <w:gridCol w:w="664"/>
        <w:gridCol w:w="663"/>
        <w:gridCol w:w="680"/>
        <w:gridCol w:w="649"/>
        <w:gridCol w:w="667"/>
        <w:gridCol w:w="6"/>
        <w:gridCol w:w="663"/>
        <w:gridCol w:w="658"/>
        <w:gridCol w:w="797"/>
        <w:gridCol w:w="662"/>
        <w:gridCol w:w="720"/>
        <w:gridCol w:w="479"/>
        <w:gridCol w:w="6"/>
        <w:gridCol w:w="1497"/>
      </w:tblGrid>
      <w:tr>
        <w:trPr>
          <w:trHeight w:val="580" w:hRule="atLeast"/>
          <w:cantSplit w:val="true"/>
        </w:trPr>
        <w:tc>
          <w:tcPr>
            <w:tcW w:w="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  <w:br/>
              <w:t>мероприятия</w:t>
            </w:r>
          </w:p>
        </w:tc>
        <w:tc>
          <w:tcPr>
            <w:tcW w:w="4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ассигнований         </w:t>
              <w:br/>
              <w:t xml:space="preserve">в соответствии с постановлением   </w:t>
              <w:br/>
              <w:t>Администрации Советского сельского поселения</w:t>
              <w:br/>
              <w:t>об утверждении Программы</w:t>
            </w:r>
          </w:p>
        </w:tc>
        <w:tc>
          <w:tcPr>
            <w:tcW w:w="3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Уточненный план ассигнований    </w:t>
              <w:br/>
              <w:t>на _202</w:t>
            </w:r>
            <w:r>
              <w:rPr>
                <w:rFonts w:eastAsia="Times New Roman" w:cs="Arial"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_ год</w:t>
            </w:r>
          </w:p>
        </w:tc>
        <w:tc>
          <w:tcPr>
            <w:tcW w:w="3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(кассовые расходы)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Объемы     </w:t>
              <w:br/>
              <w:t>неосвоенных</w:t>
              <w:br/>
              <w:t xml:space="preserve">средств и  </w:t>
              <w:br/>
              <w:t xml:space="preserve">причины их </w:t>
              <w:br/>
              <w:t xml:space="preserve">неосвоения </w:t>
              <w:br/>
              <w:t xml:space="preserve">(по источ- </w:t>
              <w:br/>
              <w:t xml:space="preserve">никам      </w:t>
              <w:br/>
              <w:t xml:space="preserve">финансиро- </w:t>
              <w:br/>
              <w:t>вания)**</w:t>
            </w:r>
          </w:p>
        </w:tc>
      </w:tr>
      <w:tr>
        <w:trPr>
          <w:trHeight w:val="580" w:hRule="atLeast"/>
          <w:cantSplit w:val="true"/>
        </w:trPr>
        <w:tc>
          <w:tcPr>
            <w:tcW w:w="2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5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мун. района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вне-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бюд-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бюджс.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</w:t>
              <w:br/>
              <w:t xml:space="preserve">жетные </w:t>
              <w:br/>
              <w:t xml:space="preserve">источ- </w:t>
              <w:br/>
              <w:t>ники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мун. района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15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по    </w:t>
              <w:br/>
              <w:t>Программе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547,1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547,1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547,1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547,1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337,1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337,1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210,00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очистке снега и противогололедной обработке автомобильных дорог Советского сельского поселения Калачевского муниципального района Волгоградской области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321,1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321,1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285,0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285,0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195</w:t>
            </w:r>
            <w:r>
              <w:rPr>
                <w:b/>
                <w:sz w:val="16"/>
                <w:szCs w:val="16"/>
              </w:rPr>
              <w:t>,0 (погодные условия)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установка знаков дорожных, столбов металлических, хомутов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90,1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90,1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114</w:t>
            </w:r>
            <w:r>
              <w:rPr>
                <w:b/>
                <w:sz w:val="16"/>
                <w:szCs w:val="16"/>
              </w:rPr>
              <w:t>,1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114</w:t>
            </w:r>
            <w:r>
              <w:rPr>
                <w:b/>
                <w:sz w:val="16"/>
                <w:szCs w:val="16"/>
              </w:rPr>
              <w:t>,1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24,0</w:t>
            </w:r>
            <w:r>
              <w:rPr>
                <w:b/>
                <w:sz w:val="16"/>
                <w:szCs w:val="16"/>
              </w:rPr>
              <w:t xml:space="preserve"> (дополнительно израсходованы неосвоенные средства на </w:t>
            </w:r>
            <w:r>
              <w:rPr>
                <w:rFonts w:eastAsia="Times New Roman" w:cs="Arial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содержание внутрипоселковых дорог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Нанесение горизонтальной дорожной разметки краской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 (Отсутствие НПА)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Изготовление технической документации; текущий ремонт и содержание сетей уличного освещения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56,0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56,0</w:t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52,0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52,0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24,0 (Отсутствие НПА)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5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3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>реализации в 202</w:t>
      </w:r>
      <w:r>
        <w:rPr>
          <w:rFonts w:eastAsia="" w:cs=""/>
          <w:color w:val="000000"/>
          <w:spacing w:val="6"/>
          <w:kern w:val="0"/>
          <w:sz w:val="28"/>
          <w:szCs w:val="28"/>
          <w:lang w:val="ru-RU" w:eastAsia="ru-RU" w:bidi="ar-SA"/>
        </w:rPr>
        <w:t xml:space="preserve">1 </w:t>
      </w:r>
      <w:r>
        <w:rPr>
          <w:color w:val="000000"/>
          <w:spacing w:val="6"/>
          <w:sz w:val="28"/>
          <w:szCs w:val="28"/>
        </w:rPr>
        <w:t xml:space="preserve">году </w:t>
      </w:r>
      <w:r>
        <w:rPr>
          <w:bCs/>
          <w:sz w:val="28"/>
          <w:szCs w:val="28"/>
        </w:rPr>
        <w:t>муниципальной</w:t>
      </w:r>
      <w:r>
        <w:rPr>
          <w:bCs/>
        </w:rPr>
        <w:t xml:space="preserve"> </w:t>
      </w:r>
      <w:r>
        <w:rPr>
          <w:bCs/>
          <w:sz w:val="28"/>
          <w:szCs w:val="28"/>
        </w:rPr>
        <w:t>целевой программы «</w:t>
      </w:r>
      <w:r>
        <w:rPr>
          <w:sz w:val="28"/>
          <w:szCs w:val="28"/>
        </w:rPr>
        <w:t>Повышение безопасности дорожного движения на территории</w:t>
      </w:r>
      <w:r>
        <w:rPr>
          <w:bCs/>
          <w:sz w:val="28"/>
          <w:szCs w:val="28"/>
        </w:rPr>
        <w:t xml:space="preserve"> Советского сельского поселения Калачевского муниципального района Волгоградской области 2020-2022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8"/>
        <w:gridCol w:w="2667"/>
        <w:gridCol w:w="1417"/>
        <w:gridCol w:w="1843"/>
        <w:gridCol w:w="1639"/>
        <w:gridCol w:w="2023"/>
        <w:gridCol w:w="1764"/>
        <w:gridCol w:w="3"/>
        <w:gridCol w:w="1767"/>
        <w:gridCol w:w="3"/>
        <w:gridCol w:w="1731"/>
      </w:tblGrid>
      <w:tr>
        <w:trPr>
          <w:trHeight w:val="690" w:hRule="atLeast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программы, 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 выполнения и показателей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Качественная оценка выполнения показателей эффективности</w:t>
            </w:r>
          </w:p>
        </w:tc>
        <w:tc>
          <w:tcPr>
            <w:tcW w:w="5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Оценка использования финансовых средств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Уровень использования финансовых средств (%)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МЦП </w:t>
            </w:r>
            <w:r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Повышение безопасности дорожного движения на территории</w:t>
            </w:r>
            <w:r>
              <w:rPr>
                <w:bCs/>
                <w:sz w:val="24"/>
                <w:szCs w:val="24"/>
              </w:rPr>
              <w:t xml:space="preserve"> Советского сельского поселения Калачевского муниципального района Волгоградской области 2020-2022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rFonts w:eastAsia="" w:cs="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Выполнены все показатели эффективности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Calibri" w:hAnsi="Calibri" w:eastAsia="" w:cs="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547,1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Calibri" w:hAnsi="Calibri" w:eastAsia="" w:cs="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337,1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Calibri" w:hAnsi="Calibri" w:eastAsia="" w:cs="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" w:cs="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62</w:t>
            </w:r>
            <w:r>
              <w:rPr>
                <w:color w:val="000000" w:themeColor="text1"/>
                <w:sz w:val="24"/>
                <w:szCs w:val="24"/>
              </w:rPr>
              <w:t xml:space="preserve"> балл</w:t>
            </w:r>
            <w:r>
              <w:rPr>
                <w:rFonts w:eastAsia="" w:cs="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(эффективная)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ind w:left="4956" w:hanging="0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3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52e"/>
    <w:pPr>
      <w:spacing w:before="0" w:after="20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LibreOffice/6.2.4.2$Windows_x86 LibreOffice_project/2412653d852ce75f65fbfa83fb7e7b669a126d64</Application>
  <Pages>9</Pages>
  <Words>900</Words>
  <Characters>6266</Characters>
  <CharactersWithSpaces>8466</CharactersWithSpaces>
  <Paragraphs>261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2021-02-09T12:05:00Z</dcterms:created>
  <dc:creator>Cvetlana</dc:creator>
  <dc:description/>
  <dc:language>ru-RU</dc:language>
  <cp:lastModifiedBy/>
  <cp:lastPrinted>2022-03-28T14:10:00Z</cp:lastPrinted>
  <dcterms:modified xsi:type="dcterms:W3CDTF">2022-03-28T14:11:45Z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